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2475" w14:textId="77777777" w:rsidR="00394ED6" w:rsidRPr="00EB2B76" w:rsidRDefault="00394ED6" w:rsidP="00394ED6">
      <w:pPr>
        <w:pStyle w:val="ConsPlusNormal"/>
        <w:jc w:val="right"/>
        <w:outlineLvl w:val="0"/>
        <w:rPr>
          <w:sz w:val="16"/>
          <w:szCs w:val="16"/>
        </w:rPr>
      </w:pPr>
      <w:r w:rsidRPr="00EB2B76">
        <w:rPr>
          <w:sz w:val="16"/>
          <w:szCs w:val="16"/>
        </w:rPr>
        <w:t>Приложение 3</w:t>
      </w:r>
    </w:p>
    <w:p w14:paraId="30657B4A" w14:textId="77777777" w:rsidR="00394ED6" w:rsidRPr="00EB2B76" w:rsidRDefault="00394ED6" w:rsidP="00394ED6">
      <w:pPr>
        <w:pStyle w:val="ConsPlusNormal"/>
        <w:jc w:val="right"/>
        <w:rPr>
          <w:sz w:val="16"/>
          <w:szCs w:val="16"/>
        </w:rPr>
      </w:pPr>
      <w:r w:rsidRPr="00EB2B76">
        <w:rPr>
          <w:sz w:val="16"/>
          <w:szCs w:val="16"/>
        </w:rPr>
        <w:t>к Указанию Банка России</w:t>
      </w:r>
    </w:p>
    <w:p w14:paraId="4037971B" w14:textId="77777777" w:rsidR="00394ED6" w:rsidRPr="00EB2B76" w:rsidRDefault="00394ED6" w:rsidP="00394ED6">
      <w:pPr>
        <w:pStyle w:val="ConsPlusNormal"/>
        <w:jc w:val="right"/>
        <w:rPr>
          <w:sz w:val="16"/>
          <w:szCs w:val="16"/>
        </w:rPr>
      </w:pPr>
      <w:r w:rsidRPr="00EB2B76">
        <w:rPr>
          <w:sz w:val="16"/>
          <w:szCs w:val="16"/>
        </w:rPr>
        <w:t>от 2 ноября 2020 года N 5609-У</w:t>
      </w:r>
    </w:p>
    <w:p w14:paraId="2FACBCC1" w14:textId="77777777" w:rsidR="00394ED6" w:rsidRPr="00EB2B76" w:rsidRDefault="00394ED6" w:rsidP="00394ED6">
      <w:pPr>
        <w:pStyle w:val="ConsPlusNormal"/>
        <w:jc w:val="right"/>
        <w:rPr>
          <w:sz w:val="16"/>
          <w:szCs w:val="16"/>
        </w:rPr>
      </w:pPr>
      <w:r w:rsidRPr="00EB2B76">
        <w:rPr>
          <w:sz w:val="16"/>
          <w:szCs w:val="16"/>
        </w:rPr>
        <w:t>"О раскрытии, распространении</w:t>
      </w:r>
    </w:p>
    <w:p w14:paraId="10D1F8B4" w14:textId="77777777" w:rsidR="00394ED6" w:rsidRPr="00EB2B76" w:rsidRDefault="00394ED6" w:rsidP="00394ED6">
      <w:pPr>
        <w:pStyle w:val="ConsPlusNormal"/>
        <w:jc w:val="right"/>
        <w:rPr>
          <w:sz w:val="16"/>
          <w:szCs w:val="16"/>
        </w:rPr>
      </w:pPr>
      <w:r w:rsidRPr="00EB2B76">
        <w:rPr>
          <w:sz w:val="16"/>
          <w:szCs w:val="16"/>
        </w:rPr>
        <w:t>и предоставлении информации</w:t>
      </w:r>
    </w:p>
    <w:p w14:paraId="623EDAE5" w14:textId="77777777" w:rsidR="00394ED6" w:rsidRPr="00EB2B76" w:rsidRDefault="00394ED6" w:rsidP="00394ED6">
      <w:pPr>
        <w:pStyle w:val="ConsPlusNormal"/>
        <w:jc w:val="right"/>
        <w:rPr>
          <w:sz w:val="16"/>
          <w:szCs w:val="16"/>
        </w:rPr>
      </w:pPr>
      <w:r w:rsidRPr="00EB2B76">
        <w:rPr>
          <w:sz w:val="16"/>
          <w:szCs w:val="16"/>
        </w:rPr>
        <w:t>акционерными инвестиционными</w:t>
      </w:r>
    </w:p>
    <w:p w14:paraId="2060644D" w14:textId="77777777" w:rsidR="00394ED6" w:rsidRPr="00EB2B76" w:rsidRDefault="00394ED6" w:rsidP="00394ED6">
      <w:pPr>
        <w:pStyle w:val="ConsPlusNormal"/>
        <w:jc w:val="right"/>
        <w:rPr>
          <w:sz w:val="16"/>
          <w:szCs w:val="16"/>
        </w:rPr>
      </w:pPr>
      <w:r w:rsidRPr="00EB2B76">
        <w:rPr>
          <w:sz w:val="16"/>
          <w:szCs w:val="16"/>
        </w:rPr>
        <w:t>фондами и управляющими компаниями</w:t>
      </w:r>
    </w:p>
    <w:p w14:paraId="2CF4A109" w14:textId="77777777" w:rsidR="00394ED6" w:rsidRPr="00EB2B76" w:rsidRDefault="00394ED6" w:rsidP="00394ED6">
      <w:pPr>
        <w:pStyle w:val="ConsPlusNormal"/>
        <w:jc w:val="right"/>
        <w:rPr>
          <w:sz w:val="16"/>
          <w:szCs w:val="16"/>
        </w:rPr>
      </w:pPr>
      <w:r w:rsidRPr="00EB2B76">
        <w:rPr>
          <w:sz w:val="16"/>
          <w:szCs w:val="16"/>
        </w:rPr>
        <w:t>инвестиционных фондов, паевых</w:t>
      </w:r>
    </w:p>
    <w:p w14:paraId="3FD29F8D" w14:textId="77777777" w:rsidR="00394ED6" w:rsidRPr="00EB2B76" w:rsidRDefault="00394ED6" w:rsidP="00394ED6">
      <w:pPr>
        <w:pStyle w:val="ConsPlusNormal"/>
        <w:jc w:val="right"/>
        <w:rPr>
          <w:sz w:val="16"/>
          <w:szCs w:val="16"/>
        </w:rPr>
      </w:pPr>
      <w:r w:rsidRPr="00EB2B76">
        <w:rPr>
          <w:sz w:val="16"/>
          <w:szCs w:val="16"/>
        </w:rPr>
        <w:t>инвестиционных фондов</w:t>
      </w:r>
    </w:p>
    <w:p w14:paraId="0E3FB06E" w14:textId="77777777" w:rsidR="00394ED6" w:rsidRPr="00EB2B76" w:rsidRDefault="00394ED6" w:rsidP="00394ED6">
      <w:pPr>
        <w:pStyle w:val="ConsPlusNormal"/>
        <w:jc w:val="right"/>
        <w:rPr>
          <w:sz w:val="16"/>
          <w:szCs w:val="16"/>
        </w:rPr>
      </w:pPr>
      <w:r w:rsidRPr="00EB2B76">
        <w:rPr>
          <w:sz w:val="16"/>
          <w:szCs w:val="16"/>
        </w:rPr>
        <w:t>и негосударственных пенсионных</w:t>
      </w:r>
    </w:p>
    <w:p w14:paraId="3C601506" w14:textId="77777777" w:rsidR="00394ED6" w:rsidRPr="00EB2B76" w:rsidRDefault="00394ED6" w:rsidP="00394ED6">
      <w:pPr>
        <w:pStyle w:val="ConsPlusNormal"/>
        <w:jc w:val="right"/>
        <w:rPr>
          <w:sz w:val="16"/>
          <w:szCs w:val="16"/>
        </w:rPr>
      </w:pPr>
      <w:r w:rsidRPr="00EB2B76">
        <w:rPr>
          <w:sz w:val="16"/>
          <w:szCs w:val="16"/>
        </w:rPr>
        <w:t>фондов, а также о требованиях</w:t>
      </w:r>
    </w:p>
    <w:p w14:paraId="4D134F56" w14:textId="77777777" w:rsidR="00394ED6" w:rsidRPr="00EB2B76" w:rsidRDefault="00394ED6" w:rsidP="00394ED6">
      <w:pPr>
        <w:pStyle w:val="ConsPlusNormal"/>
        <w:jc w:val="right"/>
        <w:rPr>
          <w:sz w:val="16"/>
          <w:szCs w:val="16"/>
        </w:rPr>
      </w:pPr>
      <w:r w:rsidRPr="00EB2B76">
        <w:rPr>
          <w:sz w:val="16"/>
          <w:szCs w:val="16"/>
        </w:rPr>
        <w:t>к расчету доходности инвестиционной</w:t>
      </w:r>
    </w:p>
    <w:p w14:paraId="78D76D02" w14:textId="77777777" w:rsidR="00394ED6" w:rsidRPr="00EB2B76" w:rsidRDefault="00394ED6" w:rsidP="00394ED6">
      <w:pPr>
        <w:pStyle w:val="ConsPlusNormal"/>
        <w:jc w:val="right"/>
        <w:rPr>
          <w:sz w:val="16"/>
          <w:szCs w:val="16"/>
        </w:rPr>
      </w:pPr>
      <w:r w:rsidRPr="00EB2B76">
        <w:rPr>
          <w:sz w:val="16"/>
          <w:szCs w:val="16"/>
        </w:rPr>
        <w:t>деятельности акционерного</w:t>
      </w:r>
    </w:p>
    <w:p w14:paraId="7B7DCC9A" w14:textId="77777777" w:rsidR="00394ED6" w:rsidRPr="00EB2B76" w:rsidRDefault="00394ED6" w:rsidP="00394ED6">
      <w:pPr>
        <w:pStyle w:val="ConsPlusNormal"/>
        <w:jc w:val="right"/>
        <w:rPr>
          <w:sz w:val="16"/>
          <w:szCs w:val="16"/>
        </w:rPr>
      </w:pPr>
      <w:r w:rsidRPr="00EB2B76">
        <w:rPr>
          <w:sz w:val="16"/>
          <w:szCs w:val="16"/>
        </w:rPr>
        <w:t>инвестиционного фонда</w:t>
      </w:r>
    </w:p>
    <w:p w14:paraId="241F18EC" w14:textId="77777777" w:rsidR="00394ED6" w:rsidRPr="00EB2B76" w:rsidRDefault="00394ED6" w:rsidP="00394ED6">
      <w:pPr>
        <w:pStyle w:val="ConsPlusNormal"/>
        <w:jc w:val="right"/>
        <w:rPr>
          <w:sz w:val="16"/>
          <w:szCs w:val="16"/>
        </w:rPr>
      </w:pPr>
      <w:r w:rsidRPr="00EB2B76">
        <w:rPr>
          <w:sz w:val="16"/>
          <w:szCs w:val="16"/>
        </w:rPr>
        <w:t>и управляющей компании паевого</w:t>
      </w:r>
    </w:p>
    <w:p w14:paraId="59F60E79" w14:textId="5130B03A" w:rsidR="00394ED6" w:rsidRPr="00EB2B76" w:rsidRDefault="00394ED6" w:rsidP="00EB2B76">
      <w:pPr>
        <w:pStyle w:val="ConsPlusNormal"/>
        <w:jc w:val="right"/>
        <w:rPr>
          <w:sz w:val="16"/>
          <w:szCs w:val="16"/>
        </w:rPr>
      </w:pPr>
      <w:r w:rsidRPr="00EB2B76">
        <w:rPr>
          <w:sz w:val="16"/>
          <w:szCs w:val="16"/>
        </w:rPr>
        <w:t>инвестиционного фонда"</w:t>
      </w:r>
    </w:p>
    <w:p w14:paraId="4E716B89" w14:textId="77777777" w:rsidR="00394ED6" w:rsidRDefault="00394ED6" w:rsidP="00394ED6">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341"/>
        <w:gridCol w:w="30"/>
        <w:gridCol w:w="310"/>
        <w:gridCol w:w="1040"/>
        <w:gridCol w:w="567"/>
        <w:gridCol w:w="1059"/>
        <w:gridCol w:w="225"/>
        <w:gridCol w:w="455"/>
        <w:gridCol w:w="1021"/>
        <w:gridCol w:w="230"/>
        <w:gridCol w:w="6"/>
      </w:tblGrid>
      <w:tr w:rsidR="00394ED6" w14:paraId="13012EFC" w14:textId="77777777" w:rsidTr="00C77A94">
        <w:trPr>
          <w:gridAfter w:val="1"/>
          <w:wAfter w:w="6" w:type="dxa"/>
        </w:trPr>
        <w:tc>
          <w:tcPr>
            <w:tcW w:w="9302" w:type="dxa"/>
            <w:gridSpan w:val="12"/>
            <w:tcBorders>
              <w:top w:val="nil"/>
              <w:left w:val="nil"/>
              <w:bottom w:val="nil"/>
              <w:right w:val="nil"/>
            </w:tcBorders>
          </w:tcPr>
          <w:p w14:paraId="7037428E" w14:textId="77777777" w:rsidR="00394ED6" w:rsidRDefault="00394ED6" w:rsidP="009744EC">
            <w:pPr>
              <w:pStyle w:val="ConsPlusNormal"/>
              <w:jc w:val="center"/>
            </w:pPr>
            <w:bookmarkStart w:id="0" w:name="P854"/>
            <w:bookmarkEnd w:id="0"/>
            <w:r>
              <w:t>Ключевой информационный документ</w:t>
            </w:r>
          </w:p>
        </w:tc>
      </w:tr>
      <w:tr w:rsidR="00394ED6" w14:paraId="180F83EC" w14:textId="77777777" w:rsidTr="00C77A94">
        <w:trPr>
          <w:gridAfter w:val="1"/>
          <w:wAfter w:w="6" w:type="dxa"/>
        </w:trPr>
        <w:tc>
          <w:tcPr>
            <w:tcW w:w="9302" w:type="dxa"/>
            <w:gridSpan w:val="12"/>
            <w:tcBorders>
              <w:top w:val="nil"/>
              <w:left w:val="nil"/>
              <w:bottom w:val="nil"/>
              <w:right w:val="nil"/>
            </w:tcBorders>
          </w:tcPr>
          <w:p w14:paraId="2F743484" w14:textId="77777777" w:rsidR="00394ED6" w:rsidRDefault="00394ED6" w:rsidP="009744EC">
            <w:pPr>
              <w:pStyle w:val="ConsPlusNormal"/>
              <w:jc w:val="center"/>
            </w:pPr>
            <w:r>
              <w:t>о паевом инвестиционном фонде</w:t>
            </w:r>
          </w:p>
        </w:tc>
      </w:tr>
      <w:tr w:rsidR="00394ED6" w14:paraId="346020FF" w14:textId="77777777" w:rsidTr="00C77A94">
        <w:trPr>
          <w:gridAfter w:val="1"/>
          <w:wAfter w:w="6" w:type="dxa"/>
        </w:trPr>
        <w:tc>
          <w:tcPr>
            <w:tcW w:w="9302" w:type="dxa"/>
            <w:gridSpan w:val="12"/>
            <w:tcBorders>
              <w:top w:val="nil"/>
              <w:left w:val="nil"/>
              <w:bottom w:val="nil"/>
              <w:right w:val="nil"/>
            </w:tcBorders>
          </w:tcPr>
          <w:p w14:paraId="2644B1A7" w14:textId="77777777" w:rsidR="00394ED6" w:rsidRDefault="00394ED6" w:rsidP="009744EC">
            <w:pPr>
              <w:pStyle w:val="ConsPlusNormal"/>
            </w:pPr>
          </w:p>
        </w:tc>
      </w:tr>
      <w:tr w:rsidR="00394ED6" w14:paraId="05002E35" w14:textId="77777777" w:rsidTr="00C77A94">
        <w:trPr>
          <w:gridAfter w:val="1"/>
          <w:wAfter w:w="6" w:type="dxa"/>
        </w:trPr>
        <w:tc>
          <w:tcPr>
            <w:tcW w:w="9302" w:type="dxa"/>
            <w:gridSpan w:val="12"/>
            <w:tcBorders>
              <w:top w:val="nil"/>
              <w:left w:val="nil"/>
              <w:bottom w:val="nil"/>
              <w:right w:val="nil"/>
            </w:tcBorders>
          </w:tcPr>
          <w:p w14:paraId="66DE9B7E" w14:textId="77777777" w:rsidR="00394ED6" w:rsidRDefault="00394ED6" w:rsidP="009744EC">
            <w:pPr>
              <w:pStyle w:val="ConsPlusNormal"/>
              <w:jc w:val="both"/>
              <w:outlineLvl w:val="1"/>
            </w:pPr>
            <w:r>
              <w:t>Раздел 1. Общие сведения</w:t>
            </w:r>
          </w:p>
        </w:tc>
      </w:tr>
      <w:tr w:rsidR="00394ED6" w14:paraId="6031C025" w14:textId="77777777" w:rsidTr="00C77A94">
        <w:trPr>
          <w:gridAfter w:val="1"/>
          <w:wAfter w:w="6" w:type="dxa"/>
        </w:trPr>
        <w:tc>
          <w:tcPr>
            <w:tcW w:w="9302" w:type="dxa"/>
            <w:gridSpan w:val="12"/>
            <w:tcBorders>
              <w:top w:val="nil"/>
              <w:left w:val="nil"/>
              <w:bottom w:val="nil"/>
              <w:right w:val="nil"/>
            </w:tcBorders>
          </w:tcPr>
          <w:p w14:paraId="72F95D46" w14:textId="77777777" w:rsidR="00394ED6" w:rsidRDefault="00394ED6" w:rsidP="009744EC">
            <w:pPr>
              <w:pStyle w:val="ConsPlusNormal"/>
              <w:jc w:val="both"/>
            </w:pPr>
            <w:r>
              <w:t>Ключевой информационный документ</w:t>
            </w:r>
          </w:p>
          <w:p w14:paraId="637C4535" w14:textId="3790C9E2" w:rsidR="00394ED6" w:rsidRDefault="00394ED6" w:rsidP="009744EC">
            <w:pPr>
              <w:pStyle w:val="ConsPlusNormal"/>
              <w:jc w:val="both"/>
            </w:pPr>
            <w:r>
              <w:t>по состоянию на</w:t>
            </w:r>
            <w:r w:rsidR="00486E68">
              <w:t xml:space="preserve"> 30.09.2021г.</w:t>
            </w:r>
          </w:p>
          <w:p w14:paraId="3177E8FB" w14:textId="77777777" w:rsidR="00394ED6" w:rsidRDefault="00394ED6" w:rsidP="009744EC">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394ED6" w14:paraId="30852AF2" w14:textId="77777777" w:rsidTr="00C77A94">
        <w:trPr>
          <w:gridAfter w:val="1"/>
          <w:wAfter w:w="6" w:type="dxa"/>
        </w:trPr>
        <w:tc>
          <w:tcPr>
            <w:tcW w:w="9302" w:type="dxa"/>
            <w:gridSpan w:val="12"/>
            <w:tcBorders>
              <w:top w:val="nil"/>
              <w:left w:val="nil"/>
              <w:bottom w:val="nil"/>
              <w:right w:val="nil"/>
            </w:tcBorders>
          </w:tcPr>
          <w:p w14:paraId="6FA538E9" w14:textId="384DC9BE" w:rsidR="00394ED6" w:rsidRDefault="00486E68" w:rsidP="009744EC">
            <w:pPr>
              <w:pStyle w:val="ConsPlusNormal"/>
              <w:jc w:val="both"/>
            </w:pPr>
            <w:r w:rsidRPr="00486E68">
              <w:t>Закрытый паевой инвестиционный фонд недвижимости «Краснопресненский»</w:t>
            </w:r>
          </w:p>
        </w:tc>
      </w:tr>
      <w:tr w:rsidR="00394ED6" w14:paraId="03F94B23" w14:textId="77777777" w:rsidTr="00C77A94">
        <w:trPr>
          <w:gridAfter w:val="1"/>
          <w:wAfter w:w="6" w:type="dxa"/>
        </w:trPr>
        <w:tc>
          <w:tcPr>
            <w:tcW w:w="9302" w:type="dxa"/>
            <w:gridSpan w:val="12"/>
            <w:tcBorders>
              <w:top w:val="nil"/>
              <w:left w:val="nil"/>
              <w:right w:val="nil"/>
            </w:tcBorders>
          </w:tcPr>
          <w:p w14:paraId="7FCD59C1" w14:textId="718894D5" w:rsidR="00394ED6" w:rsidRDefault="00486E68" w:rsidP="009744EC">
            <w:pPr>
              <w:pStyle w:val="ConsPlusNormal"/>
              <w:jc w:val="both"/>
            </w:pPr>
            <w:r>
              <w:t xml:space="preserve">под управлением </w:t>
            </w:r>
            <w:r w:rsidRPr="00486E68">
              <w:t>ООО «УК «Реальные инвестиции»</w:t>
            </w:r>
          </w:p>
        </w:tc>
      </w:tr>
      <w:tr w:rsidR="00394ED6" w14:paraId="383E91E4" w14:textId="77777777" w:rsidTr="00C77A94">
        <w:trPr>
          <w:gridAfter w:val="1"/>
          <w:wAfter w:w="6" w:type="dxa"/>
        </w:trPr>
        <w:tc>
          <w:tcPr>
            <w:tcW w:w="9302" w:type="dxa"/>
            <w:gridSpan w:val="12"/>
            <w:tcBorders>
              <w:left w:val="nil"/>
              <w:bottom w:val="nil"/>
              <w:right w:val="nil"/>
            </w:tcBorders>
          </w:tcPr>
          <w:p w14:paraId="0DC4214F" w14:textId="77777777" w:rsidR="00394ED6" w:rsidRDefault="00394ED6" w:rsidP="009744EC">
            <w:pPr>
              <w:pStyle w:val="ConsPlusNormal"/>
              <w:outlineLvl w:val="1"/>
            </w:pPr>
            <w:r>
              <w:t>Раздел 2. Внимание</w:t>
            </w:r>
          </w:p>
        </w:tc>
      </w:tr>
      <w:tr w:rsidR="00394ED6" w14:paraId="193C6529" w14:textId="77777777" w:rsidTr="00C77A94">
        <w:tblPrEx>
          <w:tblBorders>
            <w:insideV w:val="nil"/>
          </w:tblBorders>
        </w:tblPrEx>
        <w:trPr>
          <w:gridAfter w:val="1"/>
          <w:wAfter w:w="6" w:type="dxa"/>
        </w:trPr>
        <w:tc>
          <w:tcPr>
            <w:tcW w:w="4365" w:type="dxa"/>
            <w:gridSpan w:val="3"/>
            <w:tcBorders>
              <w:top w:val="nil"/>
            </w:tcBorders>
          </w:tcPr>
          <w:p w14:paraId="0A8C132B" w14:textId="77777777" w:rsidR="00486E68" w:rsidRDefault="00394ED6" w:rsidP="009744EC">
            <w:pPr>
              <w:pStyle w:val="ConsPlusNormal"/>
              <w:jc w:val="both"/>
            </w:pPr>
            <w:r>
              <w:t xml:space="preserve">1. Возврат и доходность инвестиций в паевой инвестиционный фонд не гарантированы государством или иными лицами. </w:t>
            </w:r>
          </w:p>
          <w:p w14:paraId="536FA886" w14:textId="1FC2ADA3" w:rsidR="00394ED6" w:rsidRDefault="00394ED6" w:rsidP="009744EC">
            <w:pPr>
              <w:pStyle w:val="ConsPlusNormal"/>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737A05B" w14:textId="5BF97F14" w:rsidR="00EB2B76" w:rsidRDefault="00394ED6" w:rsidP="00024759">
            <w:pPr>
              <w:pStyle w:val="ConsPlusNormal"/>
              <w:jc w:val="both"/>
            </w:pPr>
            <w:r>
              <w:t xml:space="preserve">3. </w:t>
            </w:r>
            <w:r w:rsidR="008F4DD3">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w:t>
            </w:r>
            <w:r w:rsidR="00024759">
              <w:t xml:space="preserve"> </w:t>
            </w:r>
            <w:r w:rsidR="00DC0385">
              <w:t>доверительного управления</w:t>
            </w:r>
            <w:r w:rsidR="008F4DD3">
              <w:t xml:space="preserve">, или о передаче прав и обязанностей по договору доверительного управления фондом другой управляющей компании, или о продлении срока действия </w:t>
            </w:r>
            <w:r w:rsidR="00EB2B76" w:rsidRPr="00EB2B76">
              <w:t>договора доверительного управления фондом.</w:t>
            </w:r>
          </w:p>
          <w:p w14:paraId="0B3CF52C" w14:textId="77777777" w:rsidR="00EB2B76" w:rsidRDefault="00EB2B76" w:rsidP="00024759">
            <w:pPr>
              <w:pStyle w:val="ConsPlusNormal"/>
              <w:jc w:val="both"/>
            </w:pPr>
          </w:p>
          <w:p w14:paraId="6FFF9A02" w14:textId="77777777" w:rsidR="00EB2B76" w:rsidRDefault="00EB2B76" w:rsidP="00024759">
            <w:pPr>
              <w:pStyle w:val="ConsPlusNormal"/>
              <w:jc w:val="both"/>
            </w:pPr>
          </w:p>
          <w:p w14:paraId="7DA10E91" w14:textId="3BC42454" w:rsidR="00394ED6" w:rsidRDefault="00024759" w:rsidP="00024759">
            <w:pPr>
              <w:pStyle w:val="ConsPlusNormal"/>
              <w:jc w:val="both"/>
            </w:pPr>
            <w:r w:rsidRPr="00024759">
              <w:t xml:space="preserve"> </w:t>
            </w:r>
          </w:p>
        </w:tc>
        <w:tc>
          <w:tcPr>
            <w:tcW w:w="340" w:type="dxa"/>
            <w:gridSpan w:val="2"/>
            <w:tcBorders>
              <w:top w:val="nil"/>
            </w:tcBorders>
          </w:tcPr>
          <w:p w14:paraId="26B8D47A" w14:textId="77777777" w:rsidR="00394ED6" w:rsidRDefault="00394ED6" w:rsidP="009744EC">
            <w:pPr>
              <w:pStyle w:val="ConsPlusNormal"/>
            </w:pPr>
          </w:p>
        </w:tc>
        <w:tc>
          <w:tcPr>
            <w:tcW w:w="4597" w:type="dxa"/>
            <w:gridSpan w:val="7"/>
            <w:tcBorders>
              <w:top w:val="nil"/>
            </w:tcBorders>
          </w:tcPr>
          <w:p w14:paraId="51E5963E" w14:textId="7EF67A19" w:rsidR="00024759" w:rsidRDefault="00024759" w:rsidP="00024759">
            <w:pPr>
              <w:pStyle w:val="ConsPlusNormal"/>
              <w:jc w:val="both"/>
            </w:pPr>
            <w: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0BEDBCAF" w14:textId="514FDEA4" w:rsidR="00024759" w:rsidRDefault="00024759" w:rsidP="009744EC">
            <w:pPr>
              <w:pStyle w:val="ConsPlusNormal"/>
              <w:jc w:val="both"/>
            </w:pPr>
            <w:r>
              <w:t>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14:paraId="001D299A" w14:textId="72D417AF" w:rsidR="00024759" w:rsidRDefault="00EB2B76" w:rsidP="009744EC">
            <w:pPr>
              <w:pStyle w:val="ConsPlusNormal"/>
              <w:jc w:val="both"/>
            </w:pPr>
            <w:r w:rsidRPr="00EB2B76">
              <w:t>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w:t>
            </w:r>
            <w:r w:rsidR="00BB13FA">
              <w:t xml:space="preserve"> </w:t>
            </w:r>
            <w:hyperlink r:id="rId5" w:history="1">
              <w:r w:rsidR="00BB13FA" w:rsidRPr="00480058">
                <w:rPr>
                  <w:rStyle w:val="a3"/>
                </w:rPr>
                <w:t>http://www.mcri.ru</w:t>
              </w:r>
            </w:hyperlink>
            <w:r w:rsidR="00BB13FA">
              <w:t xml:space="preserve"> </w:t>
            </w:r>
          </w:p>
          <w:p w14:paraId="1BBC1348" w14:textId="0A9CE06C" w:rsidR="00394ED6" w:rsidRDefault="00394ED6" w:rsidP="009744EC">
            <w:pPr>
              <w:pStyle w:val="ConsPlusNormal"/>
              <w:jc w:val="both"/>
            </w:pPr>
          </w:p>
        </w:tc>
      </w:tr>
      <w:tr w:rsidR="00394ED6" w14:paraId="7F560F4D" w14:textId="77777777" w:rsidTr="00C77A94">
        <w:trPr>
          <w:gridAfter w:val="1"/>
          <w:wAfter w:w="6" w:type="dxa"/>
        </w:trPr>
        <w:tc>
          <w:tcPr>
            <w:tcW w:w="9302" w:type="dxa"/>
            <w:gridSpan w:val="12"/>
            <w:tcBorders>
              <w:left w:val="nil"/>
              <w:bottom w:val="nil"/>
              <w:right w:val="nil"/>
            </w:tcBorders>
          </w:tcPr>
          <w:p w14:paraId="3D018B9E" w14:textId="77777777" w:rsidR="00394ED6" w:rsidRDefault="00394ED6" w:rsidP="009744EC">
            <w:pPr>
              <w:pStyle w:val="ConsPlusNormal"/>
              <w:outlineLvl w:val="1"/>
            </w:pPr>
            <w:r>
              <w:lastRenderedPageBreak/>
              <w:t>Раздел 3. Инвестиционная стратегия</w:t>
            </w:r>
          </w:p>
        </w:tc>
      </w:tr>
      <w:tr w:rsidR="00394ED6" w14:paraId="0D6BDE44" w14:textId="77777777" w:rsidTr="00DC0385">
        <w:tblPrEx>
          <w:tblBorders>
            <w:insideV w:val="nil"/>
          </w:tblBorders>
        </w:tblPrEx>
        <w:trPr>
          <w:gridAfter w:val="1"/>
          <w:wAfter w:w="6" w:type="dxa"/>
        </w:trPr>
        <w:tc>
          <w:tcPr>
            <w:tcW w:w="4395" w:type="dxa"/>
            <w:gridSpan w:val="4"/>
            <w:vMerge w:val="restart"/>
            <w:tcBorders>
              <w:top w:val="nil"/>
            </w:tcBorders>
          </w:tcPr>
          <w:p w14:paraId="5E917638" w14:textId="237D5446" w:rsidR="00EE786E" w:rsidRDefault="00394ED6" w:rsidP="00EE786E">
            <w:pPr>
              <w:pStyle w:val="ConsPlusNormal"/>
              <w:ind w:left="283"/>
              <w:jc w:val="both"/>
            </w:pPr>
            <w:r>
              <w:t>1.</w:t>
            </w:r>
            <w:r w:rsidR="00EE786E">
              <w:t xml:space="preserve"> Целью инвестиционной политики управляющей компании является получение дохода при инвестировании имущества, составляющего фонд,</w:t>
            </w:r>
            <w:r w:rsidR="00DC0385">
              <w:t xml:space="preserve"> </w:t>
            </w:r>
            <w:r w:rsidR="00EE786E">
              <w:t>в объекты, предусмотренные</w:t>
            </w:r>
            <w:r w:rsidR="00DC0385">
              <w:t xml:space="preserve"> </w:t>
            </w:r>
            <w:r w:rsidR="00EE786E">
              <w:t>Правилами</w:t>
            </w:r>
            <w:r w:rsidR="00DC0385">
              <w:t xml:space="preserve"> ДУ</w:t>
            </w:r>
            <w:r w:rsidR="00EE786E">
              <w:t>, в соответствии с инвестиционной</w:t>
            </w:r>
            <w:r w:rsidR="006041F5">
              <w:t xml:space="preserve"> </w:t>
            </w:r>
            <w:r w:rsidR="00EE786E">
              <w:t>политикой управляющей компании.</w:t>
            </w:r>
          </w:p>
          <w:p w14:paraId="0D713BF5" w14:textId="08FB29D9" w:rsidR="00EE786E" w:rsidRDefault="00EE786E" w:rsidP="00EE786E">
            <w:pPr>
              <w:pStyle w:val="ConsPlusNormal"/>
              <w:ind w:left="283"/>
              <w:jc w:val="both"/>
            </w:pPr>
            <w:r>
              <w:t xml:space="preserve">Инвестиционная политика управляющей компании заключается в приобретении объектов недвижимого имущества с целью их последующей продажи, изменения их профиля и последующей продажи и (или) с целью сдачи их в аренду. </w:t>
            </w:r>
          </w:p>
          <w:p w14:paraId="308A81F4" w14:textId="77777777" w:rsidR="006041F5" w:rsidRDefault="00394ED6" w:rsidP="006041F5">
            <w:pPr>
              <w:pStyle w:val="ConsPlusNormal"/>
              <w:ind w:left="283"/>
              <w:jc w:val="both"/>
            </w:pPr>
            <w:r>
              <w:t xml:space="preserve">2. </w:t>
            </w:r>
            <w:r w:rsidR="006041F5">
              <w:t>Имущество, составляющее Фонд, может быть инвестировано в:</w:t>
            </w:r>
          </w:p>
          <w:p w14:paraId="4CA82C78" w14:textId="77777777" w:rsidR="006041F5" w:rsidRDefault="006041F5" w:rsidP="006041F5">
            <w:pPr>
              <w:pStyle w:val="ConsPlusNormal"/>
              <w:ind w:left="283"/>
              <w:jc w:val="both"/>
            </w:pPr>
            <w:r>
              <w:t>- денежные средства, в том числе иностранную валюту, на счетах и во вкладах в кредитных организациях;</w:t>
            </w:r>
          </w:p>
          <w:p w14:paraId="6ABEC9FA" w14:textId="77777777" w:rsidR="006041F5" w:rsidRDefault="006041F5" w:rsidP="006041F5">
            <w:pPr>
              <w:pStyle w:val="ConsPlusNormal"/>
              <w:ind w:left="283"/>
              <w:jc w:val="both"/>
            </w:pPr>
            <w:r>
              <w:t>- недвижимое имущество и права аренды недвижимого имущества;</w:t>
            </w:r>
          </w:p>
          <w:p w14:paraId="34575DD4" w14:textId="77777777" w:rsidR="006041F5" w:rsidRDefault="006041F5" w:rsidP="006041F5">
            <w:pPr>
              <w:pStyle w:val="ConsPlusNormal"/>
              <w:ind w:left="283"/>
              <w:jc w:val="both"/>
            </w:pPr>
            <w:r>
              <w:t>-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971602" w14:textId="77777777" w:rsidR="006041F5" w:rsidRDefault="006041F5" w:rsidP="006041F5">
            <w:pPr>
              <w:pStyle w:val="ConsPlusNormal"/>
              <w:ind w:left="283"/>
              <w:jc w:val="both"/>
            </w:pPr>
            <w:r>
              <w:t>- долговые инструменты.</w:t>
            </w:r>
          </w:p>
          <w:p w14:paraId="1716CB33" w14:textId="4CB48BE9" w:rsidR="00394ED6" w:rsidRDefault="00394ED6" w:rsidP="006041F5">
            <w:pPr>
              <w:pStyle w:val="ConsPlusNormal"/>
              <w:ind w:left="283"/>
              <w:jc w:val="both"/>
            </w:pPr>
            <w:r>
              <w:t xml:space="preserve">3. Активы паевого инвестиционного фонда инвестированы в </w:t>
            </w:r>
            <w:r w:rsidR="009573B5">
              <w:t>2</w:t>
            </w:r>
            <w:r w:rsidR="00417860">
              <w:t>6</w:t>
            </w:r>
            <w:r w:rsidR="009573B5">
              <w:t xml:space="preserve"> </w:t>
            </w:r>
            <w:r>
              <w:t>объектов.</w:t>
            </w:r>
          </w:p>
        </w:tc>
        <w:tc>
          <w:tcPr>
            <w:tcW w:w="310" w:type="dxa"/>
            <w:tcBorders>
              <w:top w:val="nil"/>
              <w:bottom w:val="nil"/>
            </w:tcBorders>
          </w:tcPr>
          <w:p w14:paraId="607E2709" w14:textId="77777777" w:rsidR="00394ED6" w:rsidRDefault="00394ED6" w:rsidP="009744EC">
            <w:pPr>
              <w:pStyle w:val="ConsPlusNormal"/>
            </w:pPr>
          </w:p>
        </w:tc>
        <w:tc>
          <w:tcPr>
            <w:tcW w:w="4597" w:type="dxa"/>
            <w:gridSpan w:val="7"/>
            <w:tcBorders>
              <w:top w:val="nil"/>
              <w:bottom w:val="nil"/>
            </w:tcBorders>
          </w:tcPr>
          <w:p w14:paraId="62AC775C" w14:textId="77777777" w:rsidR="00394ED6" w:rsidRDefault="00394ED6" w:rsidP="009744EC">
            <w:pPr>
              <w:pStyle w:val="ConsPlusNormal"/>
            </w:pPr>
            <w:r>
              <w:t>4. Крупнейшие объекты инвестирования в активах</w:t>
            </w:r>
          </w:p>
        </w:tc>
      </w:tr>
      <w:tr w:rsidR="00394ED6" w14:paraId="000D7CFF" w14:textId="77777777" w:rsidTr="00DC0385">
        <w:tblPrEx>
          <w:tblBorders>
            <w:insideH w:val="single" w:sz="4" w:space="0" w:color="auto"/>
          </w:tblBorders>
        </w:tblPrEx>
        <w:trPr>
          <w:gridAfter w:val="1"/>
          <w:wAfter w:w="6" w:type="dxa"/>
        </w:trPr>
        <w:tc>
          <w:tcPr>
            <w:tcW w:w="4395" w:type="dxa"/>
            <w:gridSpan w:val="4"/>
            <w:vMerge/>
            <w:tcBorders>
              <w:top w:val="nil"/>
              <w:left w:val="nil"/>
              <w:right w:val="nil"/>
            </w:tcBorders>
          </w:tcPr>
          <w:p w14:paraId="7E3A8202" w14:textId="77777777" w:rsidR="00394ED6" w:rsidRDefault="00394ED6" w:rsidP="009744EC"/>
        </w:tc>
        <w:tc>
          <w:tcPr>
            <w:tcW w:w="310" w:type="dxa"/>
            <w:vMerge w:val="restart"/>
            <w:tcBorders>
              <w:top w:val="nil"/>
              <w:left w:val="nil"/>
            </w:tcBorders>
          </w:tcPr>
          <w:p w14:paraId="259A867B" w14:textId="77777777" w:rsidR="00394ED6" w:rsidRDefault="00394ED6" w:rsidP="009744EC">
            <w:pPr>
              <w:pStyle w:val="ConsPlusNormal"/>
            </w:pPr>
          </w:p>
        </w:tc>
        <w:tc>
          <w:tcPr>
            <w:tcW w:w="2891" w:type="dxa"/>
            <w:gridSpan w:val="4"/>
          </w:tcPr>
          <w:p w14:paraId="3425EAFC" w14:textId="77777777" w:rsidR="00394ED6" w:rsidRDefault="00394ED6" w:rsidP="009744EC">
            <w:pPr>
              <w:pStyle w:val="ConsPlusNormal"/>
              <w:jc w:val="center"/>
            </w:pPr>
            <w:r>
              <w:t>Наименование объекта инвестирования</w:t>
            </w:r>
          </w:p>
        </w:tc>
        <w:tc>
          <w:tcPr>
            <w:tcW w:w="1476" w:type="dxa"/>
            <w:gridSpan w:val="2"/>
          </w:tcPr>
          <w:p w14:paraId="2DB49845" w14:textId="77777777" w:rsidR="00394ED6" w:rsidRDefault="00394ED6" w:rsidP="009744EC">
            <w:pPr>
              <w:pStyle w:val="ConsPlusNormal"/>
              <w:jc w:val="center"/>
            </w:pPr>
            <w:r>
              <w:t>Доля от активов, %</w:t>
            </w:r>
          </w:p>
        </w:tc>
        <w:tc>
          <w:tcPr>
            <w:tcW w:w="230" w:type="dxa"/>
            <w:vMerge w:val="restart"/>
            <w:tcBorders>
              <w:top w:val="nil"/>
              <w:left w:val="nil"/>
              <w:right w:val="nil"/>
            </w:tcBorders>
          </w:tcPr>
          <w:p w14:paraId="044256ED" w14:textId="77777777" w:rsidR="00394ED6" w:rsidRDefault="00394ED6" w:rsidP="009744EC">
            <w:pPr>
              <w:pStyle w:val="ConsPlusNormal"/>
            </w:pPr>
          </w:p>
        </w:tc>
      </w:tr>
      <w:tr w:rsidR="00394ED6" w14:paraId="475147DF" w14:textId="77777777" w:rsidTr="00DC0385">
        <w:tblPrEx>
          <w:tblBorders>
            <w:left w:val="single" w:sz="4" w:space="0" w:color="auto"/>
            <w:insideH w:val="single" w:sz="4" w:space="0" w:color="auto"/>
          </w:tblBorders>
        </w:tblPrEx>
        <w:trPr>
          <w:gridAfter w:val="1"/>
          <w:wAfter w:w="6" w:type="dxa"/>
          <w:trHeight w:val="4036"/>
        </w:trPr>
        <w:tc>
          <w:tcPr>
            <w:tcW w:w="4395" w:type="dxa"/>
            <w:gridSpan w:val="4"/>
            <w:vMerge/>
            <w:tcBorders>
              <w:top w:val="nil"/>
              <w:left w:val="nil"/>
              <w:right w:val="nil"/>
            </w:tcBorders>
          </w:tcPr>
          <w:p w14:paraId="2080ED46" w14:textId="77777777" w:rsidR="00394ED6" w:rsidRDefault="00394ED6" w:rsidP="009744EC"/>
        </w:tc>
        <w:tc>
          <w:tcPr>
            <w:tcW w:w="310" w:type="dxa"/>
            <w:vMerge/>
            <w:tcBorders>
              <w:top w:val="nil"/>
              <w:left w:val="nil"/>
            </w:tcBorders>
          </w:tcPr>
          <w:p w14:paraId="0D1B5779" w14:textId="77777777" w:rsidR="00394ED6" w:rsidRDefault="00394ED6" w:rsidP="009744EC"/>
        </w:tc>
        <w:tc>
          <w:tcPr>
            <w:tcW w:w="2891" w:type="dxa"/>
            <w:gridSpan w:val="4"/>
          </w:tcPr>
          <w:p w14:paraId="43DCEF5D" w14:textId="0DD7A4F2" w:rsidR="006856D9" w:rsidRDefault="006856D9" w:rsidP="009744EC">
            <w:pPr>
              <w:pStyle w:val="ConsPlusNormal"/>
            </w:pPr>
            <w:r>
              <w:t>Недвижимое имущество:</w:t>
            </w:r>
          </w:p>
          <w:p w14:paraId="6CF7712E" w14:textId="0387BA28" w:rsidR="00394ED6" w:rsidRDefault="006856D9" w:rsidP="009744EC">
            <w:pPr>
              <w:pStyle w:val="ConsPlusNormal"/>
            </w:pPr>
            <w:r>
              <w:t xml:space="preserve">Нежилое помещение, находящееся по адресу </w:t>
            </w:r>
            <w:r w:rsidR="00417860" w:rsidRPr="00417860">
              <w:t>123022, Москва г, Звенигородская 2-я ул</w:t>
            </w:r>
            <w:r w:rsidR="00417860">
              <w:t>.</w:t>
            </w:r>
            <w:r w:rsidR="00417860" w:rsidRPr="00417860">
              <w:t>, дом № 13, строение 15</w:t>
            </w:r>
            <w:r>
              <w:t xml:space="preserve">, кадастровый номер: </w:t>
            </w:r>
            <w:r w:rsidRPr="006856D9">
              <w:t>77:01:0004037:3539</w:t>
            </w:r>
          </w:p>
        </w:tc>
        <w:tc>
          <w:tcPr>
            <w:tcW w:w="1476" w:type="dxa"/>
            <w:gridSpan w:val="2"/>
          </w:tcPr>
          <w:p w14:paraId="6BBDE2B3" w14:textId="4921758F" w:rsidR="00394ED6" w:rsidRDefault="00417860" w:rsidP="009744EC">
            <w:pPr>
              <w:pStyle w:val="ConsPlusNormal"/>
            </w:pPr>
            <w:r w:rsidRPr="00417860">
              <w:t>51,80</w:t>
            </w:r>
          </w:p>
        </w:tc>
        <w:tc>
          <w:tcPr>
            <w:tcW w:w="230" w:type="dxa"/>
            <w:vMerge/>
            <w:tcBorders>
              <w:top w:val="nil"/>
              <w:left w:val="nil"/>
              <w:right w:val="nil"/>
            </w:tcBorders>
          </w:tcPr>
          <w:p w14:paraId="6EAEE9EE" w14:textId="77777777" w:rsidR="00394ED6" w:rsidRDefault="00394ED6" w:rsidP="009744EC"/>
        </w:tc>
      </w:tr>
      <w:tr w:rsidR="00394ED6" w14:paraId="56C822B0" w14:textId="77777777" w:rsidTr="00DC0385">
        <w:tblPrEx>
          <w:tblBorders>
            <w:left w:val="single" w:sz="4" w:space="0" w:color="auto"/>
            <w:insideH w:val="single" w:sz="4" w:space="0" w:color="auto"/>
          </w:tblBorders>
        </w:tblPrEx>
        <w:trPr>
          <w:gridAfter w:val="1"/>
          <w:wAfter w:w="6" w:type="dxa"/>
        </w:trPr>
        <w:tc>
          <w:tcPr>
            <w:tcW w:w="4395" w:type="dxa"/>
            <w:gridSpan w:val="4"/>
            <w:vMerge/>
            <w:tcBorders>
              <w:top w:val="nil"/>
              <w:left w:val="nil"/>
              <w:right w:val="nil"/>
            </w:tcBorders>
          </w:tcPr>
          <w:p w14:paraId="143F0BF5" w14:textId="77777777" w:rsidR="00394ED6" w:rsidRDefault="00394ED6" w:rsidP="009744EC"/>
        </w:tc>
        <w:tc>
          <w:tcPr>
            <w:tcW w:w="310" w:type="dxa"/>
            <w:vMerge/>
            <w:tcBorders>
              <w:top w:val="nil"/>
              <w:left w:val="nil"/>
            </w:tcBorders>
          </w:tcPr>
          <w:p w14:paraId="51BA7697" w14:textId="77777777" w:rsidR="00394ED6" w:rsidRDefault="00394ED6" w:rsidP="009744EC"/>
        </w:tc>
        <w:tc>
          <w:tcPr>
            <w:tcW w:w="2891" w:type="dxa"/>
            <w:gridSpan w:val="4"/>
          </w:tcPr>
          <w:p w14:paraId="79646EB8" w14:textId="6697AB4E" w:rsidR="00394ED6" w:rsidRDefault="00417860" w:rsidP="009744EC">
            <w:pPr>
              <w:pStyle w:val="ConsPlusNormal"/>
            </w:pPr>
            <w:r>
              <w:t>Денежные средства на счете брокера ООО «АТОН»</w:t>
            </w:r>
          </w:p>
        </w:tc>
        <w:tc>
          <w:tcPr>
            <w:tcW w:w="1476" w:type="dxa"/>
            <w:gridSpan w:val="2"/>
          </w:tcPr>
          <w:p w14:paraId="1CF89051" w14:textId="16C326F2" w:rsidR="00394ED6" w:rsidRDefault="00417860" w:rsidP="009744EC">
            <w:pPr>
              <w:pStyle w:val="ConsPlusNormal"/>
            </w:pPr>
            <w:r w:rsidRPr="00417860">
              <w:t>12,89</w:t>
            </w:r>
          </w:p>
        </w:tc>
        <w:tc>
          <w:tcPr>
            <w:tcW w:w="230" w:type="dxa"/>
            <w:vMerge/>
            <w:tcBorders>
              <w:top w:val="nil"/>
              <w:left w:val="nil"/>
              <w:right w:val="nil"/>
            </w:tcBorders>
          </w:tcPr>
          <w:p w14:paraId="06C5367E" w14:textId="77777777" w:rsidR="00394ED6" w:rsidRDefault="00394ED6" w:rsidP="009744EC"/>
        </w:tc>
      </w:tr>
      <w:tr w:rsidR="00394ED6" w14:paraId="09C52848" w14:textId="77777777" w:rsidTr="00C77A94">
        <w:tblPrEx>
          <w:tblBorders>
            <w:insideH w:val="single" w:sz="4" w:space="0" w:color="auto"/>
            <w:insideV w:val="nil"/>
          </w:tblBorders>
        </w:tblPrEx>
        <w:trPr>
          <w:gridAfter w:val="1"/>
          <w:wAfter w:w="6" w:type="dxa"/>
        </w:trPr>
        <w:tc>
          <w:tcPr>
            <w:tcW w:w="9072" w:type="dxa"/>
            <w:gridSpan w:val="11"/>
          </w:tcPr>
          <w:p w14:paraId="148F0847" w14:textId="77777777" w:rsidR="00417860" w:rsidRDefault="00417860" w:rsidP="009744EC">
            <w:pPr>
              <w:pStyle w:val="ConsPlusNormal"/>
            </w:pPr>
          </w:p>
          <w:p w14:paraId="70478064" w14:textId="0215ACB3" w:rsidR="00417860" w:rsidRDefault="00417860" w:rsidP="009744EC">
            <w:pPr>
              <w:pStyle w:val="ConsPlusNormal"/>
            </w:pPr>
          </w:p>
        </w:tc>
        <w:tc>
          <w:tcPr>
            <w:tcW w:w="230" w:type="dxa"/>
            <w:vMerge/>
            <w:tcBorders>
              <w:top w:val="nil"/>
            </w:tcBorders>
          </w:tcPr>
          <w:p w14:paraId="021564B5" w14:textId="77777777" w:rsidR="00394ED6" w:rsidRDefault="00394ED6" w:rsidP="009744EC"/>
        </w:tc>
      </w:tr>
      <w:tr w:rsidR="00394ED6" w14:paraId="0375CAAA" w14:textId="77777777" w:rsidTr="00C77A94">
        <w:tblPrEx>
          <w:tblBorders>
            <w:insideH w:val="single" w:sz="4" w:space="0" w:color="auto"/>
          </w:tblBorders>
        </w:tblPrEx>
        <w:trPr>
          <w:gridAfter w:val="1"/>
          <w:wAfter w:w="6" w:type="dxa"/>
        </w:trPr>
        <w:tc>
          <w:tcPr>
            <w:tcW w:w="9302" w:type="dxa"/>
            <w:gridSpan w:val="12"/>
            <w:tcBorders>
              <w:left w:val="nil"/>
              <w:right w:val="nil"/>
            </w:tcBorders>
          </w:tcPr>
          <w:p w14:paraId="6BA7124B" w14:textId="77777777" w:rsidR="00394ED6" w:rsidRDefault="00394ED6" w:rsidP="009744EC">
            <w:pPr>
              <w:pStyle w:val="ConsPlusNormal"/>
              <w:jc w:val="both"/>
              <w:outlineLvl w:val="1"/>
            </w:pPr>
            <w:bookmarkStart w:id="1" w:name="_Hlk84536852"/>
            <w:r>
              <w:t>Раздел 4. Основные инвестиционные риски</w:t>
            </w:r>
          </w:p>
        </w:tc>
      </w:tr>
      <w:tr w:rsidR="00394ED6" w14:paraId="18277CDD" w14:textId="77777777" w:rsidTr="00C77A94">
        <w:tblPrEx>
          <w:tblBorders>
            <w:left w:val="single" w:sz="4" w:space="0" w:color="auto"/>
            <w:right w:val="single" w:sz="4" w:space="0" w:color="auto"/>
            <w:insideH w:val="single" w:sz="4" w:space="0" w:color="auto"/>
          </w:tblBorders>
        </w:tblPrEx>
        <w:trPr>
          <w:gridAfter w:val="1"/>
          <w:wAfter w:w="6" w:type="dxa"/>
        </w:trPr>
        <w:tc>
          <w:tcPr>
            <w:tcW w:w="3024" w:type="dxa"/>
            <w:gridSpan w:val="2"/>
          </w:tcPr>
          <w:p w14:paraId="58EC9706" w14:textId="77777777" w:rsidR="00394ED6" w:rsidRDefault="00394ED6" w:rsidP="009744EC">
            <w:pPr>
              <w:pStyle w:val="ConsPlusNormal"/>
              <w:jc w:val="center"/>
            </w:pPr>
            <w:r>
              <w:t>Вид риска</w:t>
            </w:r>
          </w:p>
        </w:tc>
        <w:tc>
          <w:tcPr>
            <w:tcW w:w="3288" w:type="dxa"/>
            <w:gridSpan w:val="5"/>
          </w:tcPr>
          <w:p w14:paraId="076AB506" w14:textId="77777777" w:rsidR="00394ED6" w:rsidRDefault="00394ED6" w:rsidP="009744EC">
            <w:pPr>
              <w:pStyle w:val="ConsPlusNormal"/>
              <w:jc w:val="center"/>
            </w:pPr>
            <w:r>
              <w:t>Вероятность реализации риска</w:t>
            </w:r>
          </w:p>
        </w:tc>
        <w:tc>
          <w:tcPr>
            <w:tcW w:w="2990" w:type="dxa"/>
            <w:gridSpan w:val="5"/>
          </w:tcPr>
          <w:p w14:paraId="23AF539D" w14:textId="77777777" w:rsidR="00394ED6" w:rsidRDefault="00394ED6" w:rsidP="009744EC">
            <w:pPr>
              <w:pStyle w:val="ConsPlusNormal"/>
              <w:jc w:val="center"/>
            </w:pPr>
            <w:r>
              <w:t>Объем потерь при реализации риска</w:t>
            </w:r>
          </w:p>
        </w:tc>
      </w:tr>
      <w:tr w:rsidR="00394ED6" w14:paraId="5DE9B154" w14:textId="77777777" w:rsidTr="00C77A94">
        <w:tblPrEx>
          <w:tblBorders>
            <w:left w:val="single" w:sz="4" w:space="0" w:color="auto"/>
            <w:right w:val="single" w:sz="4" w:space="0" w:color="auto"/>
            <w:insideH w:val="single" w:sz="4" w:space="0" w:color="auto"/>
          </w:tblBorders>
        </w:tblPrEx>
        <w:trPr>
          <w:gridAfter w:val="1"/>
          <w:wAfter w:w="6" w:type="dxa"/>
        </w:trPr>
        <w:tc>
          <w:tcPr>
            <w:tcW w:w="3024" w:type="dxa"/>
            <w:gridSpan w:val="2"/>
          </w:tcPr>
          <w:p w14:paraId="3DEDE10F" w14:textId="2AE412AC" w:rsidR="00394ED6" w:rsidRDefault="00BB42E1" w:rsidP="009744EC">
            <w:pPr>
              <w:pStyle w:val="ConsPlusNormal"/>
            </w:pPr>
            <w:r w:rsidRPr="00BB42E1">
              <w:t>Риск кредитования</w:t>
            </w:r>
          </w:p>
        </w:tc>
        <w:tc>
          <w:tcPr>
            <w:tcW w:w="3288" w:type="dxa"/>
            <w:gridSpan w:val="5"/>
          </w:tcPr>
          <w:p w14:paraId="69DFCDD2" w14:textId="7FA5F763" w:rsidR="00394ED6" w:rsidRDefault="00BB42E1" w:rsidP="009744EC">
            <w:pPr>
              <w:pStyle w:val="ConsPlusNormal"/>
            </w:pPr>
            <w:r>
              <w:t>незначительная</w:t>
            </w:r>
          </w:p>
        </w:tc>
        <w:tc>
          <w:tcPr>
            <w:tcW w:w="2990" w:type="dxa"/>
            <w:gridSpan w:val="5"/>
          </w:tcPr>
          <w:p w14:paraId="49E7D52B" w14:textId="3E817932" w:rsidR="00394ED6" w:rsidRDefault="00BB42E1" w:rsidP="009744EC">
            <w:pPr>
              <w:pStyle w:val="ConsPlusNormal"/>
            </w:pPr>
            <w:r w:rsidRPr="00BB42E1">
              <w:t>незначительн</w:t>
            </w:r>
            <w:r>
              <w:t>ый</w:t>
            </w:r>
          </w:p>
        </w:tc>
      </w:tr>
      <w:tr w:rsidR="00394ED6" w14:paraId="59144404" w14:textId="77777777" w:rsidTr="00C77A94">
        <w:tblPrEx>
          <w:tblBorders>
            <w:left w:val="single" w:sz="4" w:space="0" w:color="auto"/>
            <w:right w:val="single" w:sz="4" w:space="0" w:color="auto"/>
            <w:insideH w:val="single" w:sz="4" w:space="0" w:color="auto"/>
          </w:tblBorders>
        </w:tblPrEx>
        <w:trPr>
          <w:gridAfter w:val="1"/>
          <w:wAfter w:w="6" w:type="dxa"/>
        </w:trPr>
        <w:tc>
          <w:tcPr>
            <w:tcW w:w="3024" w:type="dxa"/>
            <w:gridSpan w:val="2"/>
          </w:tcPr>
          <w:p w14:paraId="6944D421" w14:textId="3E05A57F" w:rsidR="00394ED6" w:rsidRDefault="00BB42E1" w:rsidP="009744EC">
            <w:pPr>
              <w:pStyle w:val="ConsPlusNormal"/>
            </w:pPr>
            <w:r w:rsidRPr="00BB42E1">
              <w:t>Расчетный риск</w:t>
            </w:r>
          </w:p>
        </w:tc>
        <w:tc>
          <w:tcPr>
            <w:tcW w:w="3288" w:type="dxa"/>
            <w:gridSpan w:val="5"/>
          </w:tcPr>
          <w:p w14:paraId="108AF66B" w14:textId="661DB08D" w:rsidR="00394ED6" w:rsidRDefault="00BB42E1" w:rsidP="009744EC">
            <w:pPr>
              <w:pStyle w:val="ConsPlusNormal"/>
            </w:pPr>
            <w:r>
              <w:t>н</w:t>
            </w:r>
            <w:r w:rsidRPr="00BB42E1">
              <w:t>ебольш</w:t>
            </w:r>
            <w:r>
              <w:t>ая</w:t>
            </w:r>
          </w:p>
        </w:tc>
        <w:tc>
          <w:tcPr>
            <w:tcW w:w="2990" w:type="dxa"/>
            <w:gridSpan w:val="5"/>
          </w:tcPr>
          <w:p w14:paraId="3E1C2716" w14:textId="647099AB" w:rsidR="00394ED6" w:rsidRDefault="00BB42E1" w:rsidP="009744EC">
            <w:pPr>
              <w:pStyle w:val="ConsPlusNormal"/>
            </w:pPr>
            <w:r w:rsidRPr="00BB42E1">
              <w:t>незначительн</w:t>
            </w:r>
            <w:r>
              <w:t>ый</w:t>
            </w:r>
          </w:p>
        </w:tc>
      </w:tr>
      <w:tr w:rsidR="00394ED6" w14:paraId="155789D0" w14:textId="77777777" w:rsidTr="00C77A94">
        <w:tblPrEx>
          <w:tblBorders>
            <w:insideH w:val="single" w:sz="4" w:space="0" w:color="auto"/>
          </w:tblBorders>
        </w:tblPrEx>
        <w:trPr>
          <w:gridAfter w:val="1"/>
          <w:wAfter w:w="6" w:type="dxa"/>
        </w:trPr>
        <w:tc>
          <w:tcPr>
            <w:tcW w:w="9302" w:type="dxa"/>
            <w:gridSpan w:val="12"/>
            <w:tcBorders>
              <w:left w:val="nil"/>
              <w:right w:val="nil"/>
            </w:tcBorders>
          </w:tcPr>
          <w:p w14:paraId="1561C322" w14:textId="77777777" w:rsidR="00394ED6" w:rsidRDefault="00394ED6" w:rsidP="009744EC">
            <w:pPr>
              <w:pStyle w:val="ConsPlusNormal"/>
            </w:pPr>
          </w:p>
          <w:p w14:paraId="09FCBF7E" w14:textId="77777777" w:rsidR="00B1315B" w:rsidRDefault="00B1315B" w:rsidP="009744EC">
            <w:pPr>
              <w:pStyle w:val="ConsPlusNormal"/>
            </w:pPr>
          </w:p>
          <w:p w14:paraId="156AB4B6" w14:textId="77777777" w:rsidR="00B1315B" w:rsidRDefault="00B1315B" w:rsidP="009744EC">
            <w:pPr>
              <w:pStyle w:val="ConsPlusNormal"/>
            </w:pPr>
          </w:p>
          <w:p w14:paraId="7982432A" w14:textId="404AECC9" w:rsidR="00B1315B" w:rsidRDefault="00B1315B" w:rsidP="009744EC">
            <w:pPr>
              <w:pStyle w:val="ConsPlusNormal"/>
            </w:pPr>
          </w:p>
        </w:tc>
      </w:tr>
      <w:bookmarkEnd w:id="1"/>
      <w:tr w:rsidR="00394ED6" w14:paraId="468B58FA" w14:textId="77777777" w:rsidTr="00C77A94">
        <w:tblPrEx>
          <w:tblBorders>
            <w:insideH w:val="single" w:sz="4" w:space="0" w:color="auto"/>
            <w:insideV w:val="nil"/>
          </w:tblBorders>
        </w:tblPrEx>
        <w:trPr>
          <w:gridAfter w:val="1"/>
          <w:wAfter w:w="6" w:type="dxa"/>
        </w:trPr>
        <w:tc>
          <w:tcPr>
            <w:tcW w:w="5745" w:type="dxa"/>
            <w:gridSpan w:val="6"/>
          </w:tcPr>
          <w:p w14:paraId="5A4EA53C" w14:textId="77777777" w:rsidR="00394ED6" w:rsidRDefault="00394ED6" w:rsidP="009744EC">
            <w:pPr>
              <w:pStyle w:val="ConsPlusNormal"/>
              <w:jc w:val="both"/>
              <w:outlineLvl w:val="1"/>
            </w:pPr>
            <w:r>
              <w:t>Раздел 5. Основные результаты инвестирования</w:t>
            </w:r>
          </w:p>
        </w:tc>
        <w:tc>
          <w:tcPr>
            <w:tcW w:w="3557" w:type="dxa"/>
            <w:gridSpan w:val="6"/>
            <w:tcBorders>
              <w:bottom w:val="nil"/>
            </w:tcBorders>
          </w:tcPr>
          <w:p w14:paraId="1625E33D" w14:textId="77777777" w:rsidR="00394ED6" w:rsidRDefault="00394ED6" w:rsidP="009744EC">
            <w:pPr>
              <w:pStyle w:val="ConsPlusNormal"/>
            </w:pPr>
          </w:p>
        </w:tc>
      </w:tr>
      <w:tr w:rsidR="00394ED6" w14:paraId="47D158D7" w14:textId="77777777" w:rsidTr="00B1366D">
        <w:tblPrEx>
          <w:tblBorders>
            <w:insideH w:val="single" w:sz="4" w:space="0" w:color="auto"/>
            <w:insideV w:val="nil"/>
          </w:tblBorders>
        </w:tblPrEx>
        <w:trPr>
          <w:gridAfter w:val="1"/>
          <w:wAfter w:w="6" w:type="dxa"/>
        </w:trPr>
        <w:tc>
          <w:tcPr>
            <w:tcW w:w="4365" w:type="dxa"/>
            <w:gridSpan w:val="3"/>
            <w:tcBorders>
              <w:right w:val="nil"/>
            </w:tcBorders>
            <w:vAlign w:val="bottom"/>
          </w:tcPr>
          <w:p w14:paraId="6AE1430A" w14:textId="77777777" w:rsidR="00394ED6" w:rsidRDefault="00394ED6" w:rsidP="009744EC">
            <w:pPr>
              <w:pStyle w:val="ConsPlusNormal"/>
              <w:ind w:left="283"/>
            </w:pPr>
            <w:r>
              <w:t>Доходность за календарный год, %</w:t>
            </w:r>
          </w:p>
        </w:tc>
        <w:tc>
          <w:tcPr>
            <w:tcW w:w="4937" w:type="dxa"/>
            <w:gridSpan w:val="9"/>
            <w:tcBorders>
              <w:top w:val="nil"/>
              <w:left w:val="nil"/>
              <w:bottom w:val="nil"/>
            </w:tcBorders>
          </w:tcPr>
          <w:p w14:paraId="5ED5B6C4" w14:textId="77777777" w:rsidR="00394ED6" w:rsidRDefault="00394ED6" w:rsidP="009744EC">
            <w:pPr>
              <w:pStyle w:val="ConsPlusNormal"/>
              <w:ind w:left="283"/>
              <w:jc w:val="both"/>
            </w:pPr>
            <w:r>
              <w:t>Доходность за период, %</w:t>
            </w:r>
          </w:p>
        </w:tc>
      </w:tr>
      <w:tr w:rsidR="00C77A94" w14:paraId="4CA67C07" w14:textId="77777777" w:rsidTr="003B68A7">
        <w:tblPrEx>
          <w:tblBorders>
            <w:insideH w:val="single" w:sz="4" w:space="0" w:color="auto"/>
          </w:tblBorders>
          <w:tblCellMar>
            <w:left w:w="108" w:type="dxa"/>
            <w:right w:w="108" w:type="dxa"/>
          </w:tblCellMar>
        </w:tblPrEx>
        <w:trPr>
          <w:trHeight w:val="1064"/>
        </w:trPr>
        <w:tc>
          <w:tcPr>
            <w:tcW w:w="4365" w:type="dxa"/>
            <w:gridSpan w:val="3"/>
            <w:vMerge w:val="restart"/>
            <w:tcBorders>
              <w:left w:val="nil"/>
              <w:right w:val="single" w:sz="4" w:space="0" w:color="auto"/>
            </w:tcBorders>
            <w:vAlign w:val="center"/>
          </w:tcPr>
          <w:p w14:paraId="454A0F90" w14:textId="2F87B4D8" w:rsidR="00C77A94" w:rsidRDefault="003B68A7" w:rsidP="00C77A94">
            <w:pPr>
              <w:pStyle w:val="ConsPlusNormal"/>
            </w:pPr>
            <w:r>
              <w:rPr>
                <w:noProof/>
              </w:rPr>
              <w:drawing>
                <wp:inline distT="0" distB="0" distL="0" distR="0" wp14:anchorId="04317E0A" wp14:editId="79BD089E">
                  <wp:extent cx="2634615" cy="1580515"/>
                  <wp:effectExtent l="0" t="0" r="13335" b="635"/>
                  <wp:docPr id="1" name="Диаграмма 1">
                    <a:extLst xmlns:a="http://schemas.openxmlformats.org/drawingml/2006/main">
                      <a:ext uri="{FF2B5EF4-FFF2-40B4-BE49-F238E27FC236}">
                        <a16:creationId xmlns:a16="http://schemas.microsoft.com/office/drawing/2014/main" id="{9171E1A5-17F0-40CE-9437-40E8EF25B4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gridSpan w:val="3"/>
            <w:tcBorders>
              <w:top w:val="single" w:sz="4" w:space="0" w:color="auto"/>
              <w:left w:val="single" w:sz="4" w:space="0" w:color="auto"/>
              <w:bottom w:val="single" w:sz="4" w:space="0" w:color="auto"/>
              <w:right w:val="single" w:sz="4" w:space="0" w:color="auto"/>
            </w:tcBorders>
          </w:tcPr>
          <w:p w14:paraId="4543F0E3" w14:textId="77777777" w:rsidR="00C77A94" w:rsidRDefault="00C77A94" w:rsidP="009744EC">
            <w:pPr>
              <w:pStyle w:val="ConsPlusNormal"/>
              <w:jc w:val="center"/>
            </w:pPr>
            <w:r>
              <w:t>Период</w:t>
            </w:r>
          </w:p>
        </w:tc>
        <w:tc>
          <w:tcPr>
            <w:tcW w:w="1626" w:type="dxa"/>
            <w:gridSpan w:val="2"/>
            <w:tcBorders>
              <w:top w:val="single" w:sz="4" w:space="0" w:color="auto"/>
              <w:left w:val="single" w:sz="4" w:space="0" w:color="auto"/>
              <w:bottom w:val="single" w:sz="4" w:space="0" w:color="auto"/>
              <w:right w:val="single" w:sz="4" w:space="0" w:color="auto"/>
            </w:tcBorders>
          </w:tcPr>
          <w:p w14:paraId="5A7D0BAE" w14:textId="77777777" w:rsidR="00C77A94" w:rsidRDefault="00C77A94" w:rsidP="009744EC">
            <w:pPr>
              <w:pStyle w:val="ConsPlusNormal"/>
              <w:jc w:val="center"/>
            </w:pPr>
            <w:r>
              <w:t>Доходность инвестиций</w:t>
            </w:r>
          </w:p>
        </w:tc>
        <w:tc>
          <w:tcPr>
            <w:tcW w:w="1701" w:type="dxa"/>
            <w:gridSpan w:val="3"/>
            <w:tcBorders>
              <w:top w:val="single" w:sz="4" w:space="0" w:color="auto"/>
              <w:left w:val="single" w:sz="4" w:space="0" w:color="auto"/>
              <w:bottom w:val="single" w:sz="4" w:space="0" w:color="auto"/>
              <w:right w:val="single" w:sz="4" w:space="0" w:color="auto"/>
            </w:tcBorders>
          </w:tcPr>
          <w:p w14:paraId="77530D73" w14:textId="77777777" w:rsidR="00C77A94" w:rsidRDefault="00C77A94" w:rsidP="009744EC">
            <w:pPr>
              <w:pStyle w:val="ConsPlusNormal"/>
              <w:jc w:val="center"/>
            </w:pPr>
            <w:r>
              <w:t>Отклонение доходности от</w:t>
            </w:r>
          </w:p>
          <w:p w14:paraId="0A35FC8A" w14:textId="4837F85A" w:rsidR="00C77A94" w:rsidRDefault="00C77A94" w:rsidP="009744EC">
            <w:pPr>
              <w:pStyle w:val="ConsPlusNormal"/>
              <w:jc w:val="center"/>
            </w:pPr>
            <w:r>
              <w:t>инфляции</w:t>
            </w:r>
          </w:p>
        </w:tc>
        <w:tc>
          <w:tcPr>
            <w:tcW w:w="236" w:type="dxa"/>
            <w:gridSpan w:val="2"/>
            <w:tcBorders>
              <w:top w:val="nil"/>
              <w:left w:val="single" w:sz="4" w:space="0" w:color="auto"/>
              <w:bottom w:val="nil"/>
              <w:right w:val="nil"/>
            </w:tcBorders>
            <w:shd w:val="clear" w:color="auto" w:fill="auto"/>
          </w:tcPr>
          <w:p w14:paraId="5425E3F1" w14:textId="77777777" w:rsidR="00C77A94" w:rsidRDefault="00C77A94" w:rsidP="009744EC">
            <w:pPr>
              <w:pStyle w:val="ConsPlusNormal"/>
            </w:pPr>
          </w:p>
        </w:tc>
      </w:tr>
      <w:tr w:rsidR="00DF491B" w14:paraId="1A9C07C7" w14:textId="77777777" w:rsidTr="00877C6C">
        <w:tblPrEx>
          <w:tblBorders>
            <w:left w:val="single" w:sz="4" w:space="0" w:color="auto"/>
            <w:insideH w:val="single" w:sz="4" w:space="0" w:color="auto"/>
          </w:tblBorders>
        </w:tblPrEx>
        <w:trPr>
          <w:gridAfter w:val="1"/>
          <w:wAfter w:w="6" w:type="dxa"/>
        </w:trPr>
        <w:tc>
          <w:tcPr>
            <w:tcW w:w="4365" w:type="dxa"/>
            <w:gridSpan w:val="3"/>
            <w:vMerge/>
            <w:tcBorders>
              <w:left w:val="nil"/>
            </w:tcBorders>
          </w:tcPr>
          <w:p w14:paraId="5EACD077" w14:textId="77777777" w:rsidR="00DF491B" w:rsidRDefault="00DF491B" w:rsidP="00DF491B"/>
        </w:tc>
        <w:tc>
          <w:tcPr>
            <w:tcW w:w="1380" w:type="dxa"/>
            <w:gridSpan w:val="3"/>
            <w:tcBorders>
              <w:top w:val="single" w:sz="4" w:space="0" w:color="auto"/>
            </w:tcBorders>
            <w:vAlign w:val="bottom"/>
          </w:tcPr>
          <w:p w14:paraId="26C643CB" w14:textId="77777777" w:rsidR="00DF491B" w:rsidRDefault="00DF491B" w:rsidP="00DF491B">
            <w:pPr>
              <w:pStyle w:val="ConsPlusNormal"/>
              <w:ind w:left="283"/>
              <w:jc w:val="center"/>
            </w:pPr>
            <w:r>
              <w:t>1 месяц</w:t>
            </w:r>
          </w:p>
        </w:tc>
        <w:tc>
          <w:tcPr>
            <w:tcW w:w="1626" w:type="dxa"/>
            <w:gridSpan w:val="2"/>
            <w:tcBorders>
              <w:top w:val="single" w:sz="4" w:space="0" w:color="auto"/>
            </w:tcBorders>
          </w:tcPr>
          <w:p w14:paraId="1F237F11" w14:textId="10C1EA97" w:rsidR="00DF491B" w:rsidRDefault="00DF491B" w:rsidP="00DF491B">
            <w:pPr>
              <w:pStyle w:val="ConsPlusNormal"/>
              <w:jc w:val="center"/>
            </w:pPr>
            <w:r w:rsidRPr="00BB42E1">
              <w:t>-0,69%</w:t>
            </w:r>
          </w:p>
        </w:tc>
        <w:tc>
          <w:tcPr>
            <w:tcW w:w="1701" w:type="dxa"/>
            <w:gridSpan w:val="3"/>
            <w:tcBorders>
              <w:top w:val="single" w:sz="4" w:space="0" w:color="auto"/>
              <w:bottom w:val="single" w:sz="4" w:space="0" w:color="auto"/>
              <w:right w:val="single" w:sz="4" w:space="0" w:color="auto"/>
            </w:tcBorders>
          </w:tcPr>
          <w:p w14:paraId="1CF043BA" w14:textId="63460805" w:rsidR="00DF491B" w:rsidRPr="006E0A31" w:rsidRDefault="00DF491B" w:rsidP="00DF491B">
            <w:pPr>
              <w:pStyle w:val="ConsPlusNormal"/>
              <w:jc w:val="center"/>
              <w:rPr>
                <w:lang w:val="en-US"/>
              </w:rPr>
            </w:pPr>
            <w:r w:rsidRPr="00CF6777">
              <w:t>-0,86</w:t>
            </w:r>
          </w:p>
        </w:tc>
        <w:tc>
          <w:tcPr>
            <w:tcW w:w="230" w:type="dxa"/>
            <w:vMerge w:val="restart"/>
            <w:tcBorders>
              <w:top w:val="nil"/>
              <w:left w:val="single" w:sz="4" w:space="0" w:color="auto"/>
              <w:bottom w:val="nil"/>
              <w:right w:val="nil"/>
            </w:tcBorders>
            <w:shd w:val="clear" w:color="auto" w:fill="auto"/>
          </w:tcPr>
          <w:p w14:paraId="48630AA4" w14:textId="77777777" w:rsidR="00DF491B" w:rsidRDefault="00DF491B" w:rsidP="00DF491B"/>
        </w:tc>
      </w:tr>
      <w:tr w:rsidR="00DF491B" w14:paraId="28616766" w14:textId="77777777" w:rsidTr="00877C6C">
        <w:tblPrEx>
          <w:tblBorders>
            <w:left w:val="single" w:sz="4" w:space="0" w:color="auto"/>
            <w:insideH w:val="single" w:sz="4" w:space="0" w:color="auto"/>
          </w:tblBorders>
        </w:tblPrEx>
        <w:trPr>
          <w:gridAfter w:val="1"/>
          <w:wAfter w:w="6" w:type="dxa"/>
        </w:trPr>
        <w:tc>
          <w:tcPr>
            <w:tcW w:w="4365" w:type="dxa"/>
            <w:gridSpan w:val="3"/>
            <w:vMerge/>
            <w:tcBorders>
              <w:left w:val="nil"/>
            </w:tcBorders>
          </w:tcPr>
          <w:p w14:paraId="6EE31ABB" w14:textId="77777777" w:rsidR="00DF491B" w:rsidRDefault="00DF491B" w:rsidP="00DF491B"/>
        </w:tc>
        <w:tc>
          <w:tcPr>
            <w:tcW w:w="1380" w:type="dxa"/>
            <w:gridSpan w:val="3"/>
            <w:vAlign w:val="bottom"/>
          </w:tcPr>
          <w:p w14:paraId="1985760A" w14:textId="77777777" w:rsidR="00DF491B" w:rsidRDefault="00DF491B" w:rsidP="00DF491B">
            <w:pPr>
              <w:pStyle w:val="ConsPlusNormal"/>
              <w:ind w:left="283"/>
              <w:jc w:val="center"/>
            </w:pPr>
            <w:r>
              <w:t>3 месяца</w:t>
            </w:r>
          </w:p>
        </w:tc>
        <w:tc>
          <w:tcPr>
            <w:tcW w:w="1626" w:type="dxa"/>
            <w:gridSpan w:val="2"/>
          </w:tcPr>
          <w:p w14:paraId="300E2C16" w14:textId="0D2C4966" w:rsidR="00DF491B" w:rsidRDefault="00DF491B" w:rsidP="00DF491B">
            <w:pPr>
              <w:pStyle w:val="ConsPlusNormal"/>
              <w:jc w:val="center"/>
            </w:pPr>
            <w:r w:rsidRPr="00BB42E1">
              <w:t>0,34%</w:t>
            </w:r>
          </w:p>
        </w:tc>
        <w:tc>
          <w:tcPr>
            <w:tcW w:w="1701" w:type="dxa"/>
            <w:gridSpan w:val="3"/>
            <w:tcBorders>
              <w:top w:val="single" w:sz="4" w:space="0" w:color="auto"/>
            </w:tcBorders>
          </w:tcPr>
          <w:p w14:paraId="566A907F" w14:textId="14881AFD" w:rsidR="00DF491B" w:rsidRDefault="00DF491B" w:rsidP="00DF491B">
            <w:pPr>
              <w:pStyle w:val="ConsPlusNormal"/>
              <w:jc w:val="center"/>
            </w:pPr>
            <w:r w:rsidRPr="00CF6777">
              <w:t>-0,35</w:t>
            </w:r>
          </w:p>
        </w:tc>
        <w:tc>
          <w:tcPr>
            <w:tcW w:w="230" w:type="dxa"/>
            <w:vMerge/>
            <w:tcBorders>
              <w:bottom w:val="nil"/>
              <w:right w:val="nil"/>
            </w:tcBorders>
          </w:tcPr>
          <w:p w14:paraId="51363A24" w14:textId="77777777" w:rsidR="00DF491B" w:rsidRDefault="00DF491B" w:rsidP="00DF491B"/>
        </w:tc>
      </w:tr>
      <w:tr w:rsidR="00DF491B" w14:paraId="40C2FA9D" w14:textId="77777777" w:rsidTr="00877C6C">
        <w:tblPrEx>
          <w:tblBorders>
            <w:left w:val="single" w:sz="4" w:space="0" w:color="auto"/>
            <w:insideH w:val="single" w:sz="4" w:space="0" w:color="auto"/>
          </w:tblBorders>
        </w:tblPrEx>
        <w:trPr>
          <w:gridAfter w:val="1"/>
          <w:wAfter w:w="6" w:type="dxa"/>
        </w:trPr>
        <w:tc>
          <w:tcPr>
            <w:tcW w:w="4365" w:type="dxa"/>
            <w:gridSpan w:val="3"/>
            <w:vMerge/>
            <w:tcBorders>
              <w:left w:val="nil"/>
            </w:tcBorders>
          </w:tcPr>
          <w:p w14:paraId="3BC8723F" w14:textId="77777777" w:rsidR="00DF491B" w:rsidRDefault="00DF491B" w:rsidP="00DF491B"/>
        </w:tc>
        <w:tc>
          <w:tcPr>
            <w:tcW w:w="1380" w:type="dxa"/>
            <w:gridSpan w:val="3"/>
            <w:vAlign w:val="bottom"/>
          </w:tcPr>
          <w:p w14:paraId="13D3AB96" w14:textId="77777777" w:rsidR="00DF491B" w:rsidRDefault="00DF491B" w:rsidP="00DF491B">
            <w:pPr>
              <w:pStyle w:val="ConsPlusNormal"/>
              <w:ind w:left="283"/>
              <w:jc w:val="center"/>
            </w:pPr>
            <w:r>
              <w:t>6 месяцев</w:t>
            </w:r>
          </w:p>
        </w:tc>
        <w:tc>
          <w:tcPr>
            <w:tcW w:w="1626" w:type="dxa"/>
            <w:gridSpan w:val="2"/>
          </w:tcPr>
          <w:p w14:paraId="3A6A6505" w14:textId="529848B9" w:rsidR="00DF491B" w:rsidRDefault="00DF491B" w:rsidP="00DF491B">
            <w:pPr>
              <w:pStyle w:val="ConsPlusNormal"/>
              <w:jc w:val="center"/>
            </w:pPr>
            <w:r w:rsidRPr="00BB42E1">
              <w:t>-0,76%</w:t>
            </w:r>
          </w:p>
        </w:tc>
        <w:tc>
          <w:tcPr>
            <w:tcW w:w="1701" w:type="dxa"/>
            <w:gridSpan w:val="3"/>
          </w:tcPr>
          <w:p w14:paraId="3970DA7F" w14:textId="7EC4472E" w:rsidR="00DF491B" w:rsidRDefault="00DF491B" w:rsidP="00DF491B">
            <w:pPr>
              <w:pStyle w:val="ConsPlusNormal"/>
              <w:jc w:val="center"/>
            </w:pPr>
            <w:r w:rsidRPr="00CF6777">
              <w:t>-1,42</w:t>
            </w:r>
          </w:p>
        </w:tc>
        <w:tc>
          <w:tcPr>
            <w:tcW w:w="230" w:type="dxa"/>
            <w:vMerge/>
            <w:tcBorders>
              <w:bottom w:val="nil"/>
              <w:right w:val="nil"/>
            </w:tcBorders>
          </w:tcPr>
          <w:p w14:paraId="397B0D88" w14:textId="77777777" w:rsidR="00DF491B" w:rsidRDefault="00DF491B" w:rsidP="00DF491B"/>
        </w:tc>
      </w:tr>
      <w:tr w:rsidR="00DF491B" w14:paraId="76021209" w14:textId="77777777" w:rsidTr="00877C6C">
        <w:tblPrEx>
          <w:tblBorders>
            <w:left w:val="single" w:sz="4" w:space="0" w:color="auto"/>
            <w:insideH w:val="single" w:sz="4" w:space="0" w:color="auto"/>
          </w:tblBorders>
        </w:tblPrEx>
        <w:trPr>
          <w:gridAfter w:val="1"/>
          <w:wAfter w:w="6" w:type="dxa"/>
        </w:trPr>
        <w:tc>
          <w:tcPr>
            <w:tcW w:w="4365" w:type="dxa"/>
            <w:gridSpan w:val="3"/>
            <w:vMerge/>
            <w:tcBorders>
              <w:left w:val="nil"/>
            </w:tcBorders>
          </w:tcPr>
          <w:p w14:paraId="13153B92" w14:textId="77777777" w:rsidR="00DF491B" w:rsidRDefault="00DF491B" w:rsidP="00DF491B"/>
        </w:tc>
        <w:tc>
          <w:tcPr>
            <w:tcW w:w="1380" w:type="dxa"/>
            <w:gridSpan w:val="3"/>
            <w:vAlign w:val="bottom"/>
          </w:tcPr>
          <w:p w14:paraId="309AFE0C" w14:textId="77777777" w:rsidR="00DF491B" w:rsidRDefault="00DF491B" w:rsidP="00DF491B">
            <w:pPr>
              <w:pStyle w:val="ConsPlusNormal"/>
              <w:ind w:left="283"/>
              <w:jc w:val="center"/>
            </w:pPr>
            <w:r>
              <w:t>1 год</w:t>
            </w:r>
          </w:p>
        </w:tc>
        <w:tc>
          <w:tcPr>
            <w:tcW w:w="1626" w:type="dxa"/>
            <w:gridSpan w:val="2"/>
          </w:tcPr>
          <w:p w14:paraId="4510DA11" w14:textId="13F00713" w:rsidR="00DF491B" w:rsidRDefault="00DF491B" w:rsidP="00DF491B">
            <w:pPr>
              <w:pStyle w:val="ConsPlusNormal"/>
              <w:jc w:val="center"/>
            </w:pPr>
            <w:r w:rsidRPr="00BB42E1">
              <w:t>-3,34%</w:t>
            </w:r>
          </w:p>
        </w:tc>
        <w:tc>
          <w:tcPr>
            <w:tcW w:w="1701" w:type="dxa"/>
            <w:gridSpan w:val="3"/>
          </w:tcPr>
          <w:p w14:paraId="08FC8E61" w14:textId="4B617CDD" w:rsidR="00DF491B" w:rsidRDefault="00DF491B" w:rsidP="00DF491B">
            <w:pPr>
              <w:pStyle w:val="ConsPlusNormal"/>
              <w:jc w:val="center"/>
            </w:pPr>
            <w:r w:rsidRPr="00CF6777">
              <w:t>-7,01</w:t>
            </w:r>
          </w:p>
        </w:tc>
        <w:tc>
          <w:tcPr>
            <w:tcW w:w="230" w:type="dxa"/>
            <w:vMerge/>
            <w:tcBorders>
              <w:bottom w:val="nil"/>
              <w:right w:val="nil"/>
            </w:tcBorders>
          </w:tcPr>
          <w:p w14:paraId="5BEEDF86" w14:textId="77777777" w:rsidR="00DF491B" w:rsidRDefault="00DF491B" w:rsidP="00DF491B"/>
        </w:tc>
      </w:tr>
      <w:tr w:rsidR="00DF491B" w14:paraId="71B430F1" w14:textId="77777777" w:rsidTr="00877C6C">
        <w:tblPrEx>
          <w:tblBorders>
            <w:left w:val="single" w:sz="4" w:space="0" w:color="auto"/>
            <w:insideH w:val="single" w:sz="4" w:space="0" w:color="auto"/>
          </w:tblBorders>
        </w:tblPrEx>
        <w:trPr>
          <w:gridAfter w:val="1"/>
          <w:wAfter w:w="6" w:type="dxa"/>
          <w:trHeight w:val="20"/>
        </w:trPr>
        <w:tc>
          <w:tcPr>
            <w:tcW w:w="4365" w:type="dxa"/>
            <w:gridSpan w:val="3"/>
            <w:vMerge/>
            <w:tcBorders>
              <w:left w:val="nil"/>
            </w:tcBorders>
          </w:tcPr>
          <w:p w14:paraId="487AD4DC" w14:textId="77777777" w:rsidR="00DF491B" w:rsidRDefault="00DF491B" w:rsidP="00DF491B"/>
        </w:tc>
        <w:tc>
          <w:tcPr>
            <w:tcW w:w="1380" w:type="dxa"/>
            <w:gridSpan w:val="3"/>
            <w:vAlign w:val="bottom"/>
          </w:tcPr>
          <w:p w14:paraId="2B44E3D9" w14:textId="77777777" w:rsidR="00DF491B" w:rsidRDefault="00DF491B" w:rsidP="00DF491B">
            <w:pPr>
              <w:pStyle w:val="ConsPlusNormal"/>
              <w:ind w:left="283"/>
              <w:jc w:val="center"/>
            </w:pPr>
            <w:r>
              <w:t>3 года</w:t>
            </w:r>
          </w:p>
        </w:tc>
        <w:tc>
          <w:tcPr>
            <w:tcW w:w="1626" w:type="dxa"/>
            <w:gridSpan w:val="2"/>
          </w:tcPr>
          <w:p w14:paraId="0CE5D334" w14:textId="2A935837" w:rsidR="00DF491B" w:rsidRDefault="00DF491B" w:rsidP="00DF491B">
            <w:pPr>
              <w:pStyle w:val="ConsPlusNormal"/>
              <w:jc w:val="center"/>
            </w:pPr>
            <w:r w:rsidRPr="00BB42E1">
              <w:t>8,95%</w:t>
            </w:r>
          </w:p>
        </w:tc>
        <w:tc>
          <w:tcPr>
            <w:tcW w:w="1701" w:type="dxa"/>
            <w:gridSpan w:val="3"/>
          </w:tcPr>
          <w:p w14:paraId="3549A688" w14:textId="7CC18DBB" w:rsidR="00DF491B" w:rsidRDefault="00DF491B" w:rsidP="00DF491B">
            <w:pPr>
              <w:pStyle w:val="ConsPlusNormal"/>
              <w:jc w:val="center"/>
            </w:pPr>
            <w:r w:rsidRPr="00CF6777">
              <w:t>-2,42</w:t>
            </w:r>
          </w:p>
        </w:tc>
        <w:tc>
          <w:tcPr>
            <w:tcW w:w="230" w:type="dxa"/>
            <w:vMerge/>
            <w:tcBorders>
              <w:bottom w:val="nil"/>
              <w:right w:val="nil"/>
            </w:tcBorders>
          </w:tcPr>
          <w:p w14:paraId="65867144" w14:textId="77777777" w:rsidR="00DF491B" w:rsidRDefault="00DF491B" w:rsidP="00DF491B"/>
        </w:tc>
      </w:tr>
      <w:tr w:rsidR="00DF491B" w14:paraId="77A240A5" w14:textId="77777777" w:rsidTr="00877C6C">
        <w:tblPrEx>
          <w:tblBorders>
            <w:insideH w:val="single" w:sz="4" w:space="0" w:color="auto"/>
          </w:tblBorders>
        </w:tblPrEx>
        <w:trPr>
          <w:gridAfter w:val="1"/>
          <w:wAfter w:w="6" w:type="dxa"/>
          <w:trHeight w:val="52"/>
        </w:trPr>
        <w:tc>
          <w:tcPr>
            <w:tcW w:w="4365" w:type="dxa"/>
            <w:gridSpan w:val="3"/>
            <w:tcBorders>
              <w:left w:val="nil"/>
              <w:bottom w:val="nil"/>
            </w:tcBorders>
          </w:tcPr>
          <w:p w14:paraId="28C67554" w14:textId="77777777" w:rsidR="00DF491B" w:rsidRDefault="00DF491B" w:rsidP="00DF491B">
            <w:pPr>
              <w:pStyle w:val="ConsPlusNormal"/>
            </w:pPr>
          </w:p>
        </w:tc>
        <w:tc>
          <w:tcPr>
            <w:tcW w:w="1380" w:type="dxa"/>
            <w:gridSpan w:val="3"/>
            <w:vAlign w:val="bottom"/>
          </w:tcPr>
          <w:p w14:paraId="608FE105" w14:textId="77777777" w:rsidR="00DF491B" w:rsidRDefault="00DF491B" w:rsidP="00DF491B">
            <w:pPr>
              <w:pStyle w:val="ConsPlusNormal"/>
              <w:ind w:left="283"/>
              <w:jc w:val="center"/>
            </w:pPr>
            <w:r>
              <w:t>5 лет</w:t>
            </w:r>
          </w:p>
        </w:tc>
        <w:tc>
          <w:tcPr>
            <w:tcW w:w="1626" w:type="dxa"/>
            <w:gridSpan w:val="2"/>
          </w:tcPr>
          <w:p w14:paraId="0AB85DED" w14:textId="4D9938AF" w:rsidR="00DF491B" w:rsidRDefault="00DF491B" w:rsidP="00DF491B">
            <w:pPr>
              <w:pStyle w:val="ConsPlusNormal"/>
              <w:jc w:val="center"/>
            </w:pPr>
            <w:r w:rsidRPr="00BB42E1">
              <w:t>18,83%</w:t>
            </w:r>
          </w:p>
        </w:tc>
        <w:tc>
          <w:tcPr>
            <w:tcW w:w="1701" w:type="dxa"/>
            <w:gridSpan w:val="3"/>
          </w:tcPr>
          <w:p w14:paraId="1090BE2D" w14:textId="18C357EF" w:rsidR="00DF491B" w:rsidRDefault="00DF491B" w:rsidP="00DF491B">
            <w:pPr>
              <w:pStyle w:val="ConsPlusNormal"/>
              <w:jc w:val="center"/>
            </w:pPr>
            <w:r w:rsidRPr="00CF6777">
              <w:t>-1,54</w:t>
            </w:r>
          </w:p>
        </w:tc>
        <w:tc>
          <w:tcPr>
            <w:tcW w:w="230" w:type="dxa"/>
            <w:vMerge/>
            <w:tcBorders>
              <w:bottom w:val="nil"/>
              <w:right w:val="nil"/>
            </w:tcBorders>
          </w:tcPr>
          <w:p w14:paraId="1BDC908D" w14:textId="77777777" w:rsidR="00DF491B" w:rsidRDefault="00DF491B" w:rsidP="00DF491B"/>
        </w:tc>
      </w:tr>
      <w:tr w:rsidR="00394ED6" w14:paraId="2955DEB6" w14:textId="77777777" w:rsidTr="00C77A94">
        <w:tblPrEx>
          <w:tblBorders>
            <w:insideH w:val="single" w:sz="4" w:space="0" w:color="auto"/>
            <w:insideV w:val="nil"/>
          </w:tblBorders>
        </w:tblPrEx>
        <w:trPr>
          <w:gridAfter w:val="1"/>
          <w:wAfter w:w="6" w:type="dxa"/>
        </w:trPr>
        <w:tc>
          <w:tcPr>
            <w:tcW w:w="4365" w:type="dxa"/>
            <w:gridSpan w:val="3"/>
            <w:tcBorders>
              <w:top w:val="nil"/>
            </w:tcBorders>
          </w:tcPr>
          <w:p w14:paraId="2696E876" w14:textId="0101343E" w:rsidR="00394ED6" w:rsidRDefault="00394ED6" w:rsidP="009744EC">
            <w:pPr>
              <w:pStyle w:val="ConsPlusNormal"/>
              <w:ind w:left="283"/>
              <w:jc w:val="both"/>
            </w:pPr>
            <w:r>
              <w:t xml:space="preserve">1. Расчетная стоимость инвестиционного пая </w:t>
            </w:r>
            <w:r w:rsidR="00417860" w:rsidRPr="00417860">
              <w:t>374 484,53</w:t>
            </w:r>
            <w:r>
              <w:t xml:space="preserve"> руб.</w:t>
            </w:r>
          </w:p>
          <w:p w14:paraId="3D56FD8C" w14:textId="77777777" w:rsidR="00394ED6" w:rsidRDefault="00394ED6" w:rsidP="009744EC">
            <w:pPr>
              <w:pStyle w:val="ConsPlusNormal"/>
              <w:ind w:left="283"/>
              <w:jc w:val="both"/>
            </w:pPr>
            <w:r>
              <w:t>2. 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751F1C02" w14:textId="77777777" w:rsidR="00417860" w:rsidRDefault="00417860" w:rsidP="009744EC">
            <w:pPr>
              <w:pStyle w:val="ConsPlusNormal"/>
              <w:ind w:left="283"/>
              <w:jc w:val="both"/>
            </w:pPr>
            <w:r w:rsidRPr="00417860">
              <w:t>3. Стоимость чистых активов паевого инвестиционного фонда 992 383 991,30 руб.</w:t>
            </w:r>
          </w:p>
          <w:p w14:paraId="0660CDB7" w14:textId="4DBA25D4" w:rsidR="00417860" w:rsidRPr="00DC0385" w:rsidRDefault="00417860" w:rsidP="00DC0385">
            <w:pPr>
              <w:pStyle w:val="ConsPlusNormal"/>
              <w:pBdr>
                <w:bottom w:val="single" w:sz="4" w:space="1" w:color="auto"/>
              </w:pBdr>
              <w:ind w:left="283"/>
              <w:jc w:val="both"/>
              <w:rPr>
                <w:sz w:val="21"/>
                <w:szCs w:val="21"/>
              </w:rPr>
            </w:pPr>
            <w:r>
              <w:t>4.</w:t>
            </w:r>
            <w:r w:rsidR="00316107">
              <w:t xml:space="preserve"> </w:t>
            </w:r>
            <w:r w:rsidR="00316107" w:rsidRPr="00DC0385">
              <w:rPr>
                <w:sz w:val="21"/>
                <w:szCs w:val="21"/>
              </w:rPr>
              <w:t>Доход по инвестиционному паю выплачивается</w:t>
            </w:r>
            <w:r w:rsidR="00B1315B">
              <w:rPr>
                <w:sz w:val="21"/>
                <w:szCs w:val="21"/>
              </w:rPr>
              <w:t xml:space="preserve"> </w:t>
            </w:r>
            <w:r w:rsidR="00316107" w:rsidRPr="00DC0385">
              <w:rPr>
                <w:sz w:val="21"/>
                <w:szCs w:val="21"/>
              </w:rPr>
              <w:t>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w:t>
            </w:r>
            <w:r w:rsidR="00316107" w:rsidRPr="00DC0385">
              <w:rPr>
                <w:sz w:val="21"/>
                <w:szCs w:val="21"/>
              </w:rPr>
              <w:t xml:space="preserve"> </w:t>
            </w:r>
            <w:r w:rsidR="00316107" w:rsidRPr="00DC0385">
              <w:rPr>
                <w:sz w:val="21"/>
                <w:szCs w:val="21"/>
              </w:rPr>
              <w:t>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Под отчетным периодом понимается календарный квартал.</w:t>
            </w:r>
            <w:r w:rsidR="00DC0385" w:rsidRPr="00DC0385">
              <w:rPr>
                <w:sz w:val="21"/>
                <w:szCs w:val="21"/>
              </w:rPr>
              <w:t xml:space="preserve"> </w:t>
            </w:r>
            <w:r w:rsidR="00316107" w:rsidRPr="00DC0385">
              <w:rPr>
                <w:sz w:val="21"/>
                <w:szCs w:val="21"/>
              </w:rPr>
              <w:t>Под первым отчетным периодом</w:t>
            </w:r>
            <w:r w:rsidR="009B6460" w:rsidRPr="00DC0385">
              <w:rPr>
                <w:sz w:val="21"/>
                <w:szCs w:val="21"/>
              </w:rPr>
              <w:t>, понимается период с указанной даты до даты окончания календарного квартала.</w:t>
            </w:r>
            <w:r w:rsidR="00DC0385" w:rsidRPr="00DC0385">
              <w:rPr>
                <w:sz w:val="21"/>
                <w:szCs w:val="21"/>
              </w:rPr>
              <w:t xml:space="preserve"> </w:t>
            </w:r>
            <w:r w:rsidR="00DC0385" w:rsidRPr="00DC0385">
              <w:rPr>
                <w:sz w:val="21"/>
                <w:szCs w:val="21"/>
              </w:rPr>
              <w:t>Доход по одному инвестиционному паю определяется путем деления дохода по инвестиционным паям на количество инвестиционных паев фонда на последний рабочий день отчетного периода. Доход по инвестиционным паям начисляется владельцам инвестиционных паев в последний рабочий день отчетного периода.</w:t>
            </w:r>
          </w:p>
        </w:tc>
        <w:tc>
          <w:tcPr>
            <w:tcW w:w="340" w:type="dxa"/>
            <w:gridSpan w:val="2"/>
          </w:tcPr>
          <w:p w14:paraId="4AC08699" w14:textId="77777777" w:rsidR="00394ED6" w:rsidRDefault="00394ED6" w:rsidP="009744EC">
            <w:pPr>
              <w:pStyle w:val="ConsPlusNormal"/>
            </w:pPr>
          </w:p>
        </w:tc>
        <w:tc>
          <w:tcPr>
            <w:tcW w:w="4597" w:type="dxa"/>
            <w:gridSpan w:val="7"/>
            <w:tcBorders>
              <w:top w:val="nil"/>
            </w:tcBorders>
          </w:tcPr>
          <w:p w14:paraId="17A7621D" w14:textId="77777777" w:rsidR="00BB13FA" w:rsidRDefault="00316107" w:rsidP="00316107">
            <w:pPr>
              <w:pStyle w:val="ConsPlusNormal"/>
              <w:jc w:val="both"/>
            </w:pPr>
            <w:r>
              <w:t>Доход по инвестиционным паям рассчитывается по состоянию на последний рабочий день отчетного периода и составляет 50 (Пятьдесят) процентов от разницы между фактически полученными в отчетном периоде:</w:t>
            </w:r>
          </w:p>
          <w:p w14:paraId="26066D70" w14:textId="77777777" w:rsidR="00B14F91" w:rsidRDefault="00B14F91" w:rsidP="00B14F91">
            <w:pPr>
              <w:pStyle w:val="ConsPlusNormal"/>
              <w:jc w:val="both"/>
            </w:pPr>
            <w:r>
              <w:t>• суммами процентов, начисленных в отчетном периоде на остатки по банковским счетам управляющей компании, открытым для учета денежных средств, составляющих имущество фонда, и по банковским вкладам;</w:t>
            </w:r>
          </w:p>
          <w:p w14:paraId="5FA1165C" w14:textId="77777777" w:rsidR="00B14F91" w:rsidRDefault="00B14F91" w:rsidP="00B14F91">
            <w:pPr>
              <w:pStyle w:val="ConsPlusNormal"/>
              <w:jc w:val="both"/>
            </w:pPr>
            <w:r>
              <w:t>• суммами процентного дохода по долговым инструментам, полученного в отчетном периоде, уменьшенного на величину уплаченного процентного дохода при приобретении долговых инструментов;</w:t>
            </w:r>
          </w:p>
          <w:p w14:paraId="41E3BBDC" w14:textId="77777777" w:rsidR="00B14F91" w:rsidRDefault="00B14F91" w:rsidP="00B14F91">
            <w:pPr>
              <w:pStyle w:val="ConsPlusNormal"/>
              <w:jc w:val="both"/>
            </w:pPr>
            <w:r>
              <w:t>• доходом от продажи ценных бумаг, составляющих имущество фонда;</w:t>
            </w:r>
          </w:p>
          <w:p w14:paraId="58AACB1A" w14:textId="77777777" w:rsidR="00B14F91" w:rsidRDefault="00B14F91" w:rsidP="00B14F91">
            <w:pPr>
              <w:pStyle w:val="ConsPlusNormal"/>
              <w:jc w:val="both"/>
            </w:pPr>
            <w:r>
              <w:t>• доходом от реализации объектов недвижимости;</w:t>
            </w:r>
          </w:p>
          <w:p w14:paraId="2B3E78AB" w14:textId="77777777" w:rsidR="00B14F91" w:rsidRDefault="00B14F91" w:rsidP="00B14F91">
            <w:pPr>
              <w:pStyle w:val="ConsPlusNormal"/>
              <w:jc w:val="both"/>
            </w:pPr>
            <w:r>
              <w:t>• доходом от предоставления объектов недвижимого имущества в аренду и (или) субаренду;</w:t>
            </w:r>
          </w:p>
          <w:p w14:paraId="16A7F1E5" w14:textId="77777777" w:rsidR="00B14F91" w:rsidRDefault="00B14F91" w:rsidP="00B14F91">
            <w:pPr>
              <w:pStyle w:val="ConsPlusNormal"/>
              <w:jc w:val="both"/>
            </w:pPr>
            <w:r>
              <w:t>• доходом, связанным с оказанием прочих услуг, связанных с эксплуатацией объектов недвижимости;</w:t>
            </w:r>
          </w:p>
          <w:p w14:paraId="16612F07" w14:textId="43F79364" w:rsidR="00B14F91" w:rsidRDefault="00B14F91" w:rsidP="00B14F91">
            <w:pPr>
              <w:pStyle w:val="ConsPlusNormal"/>
              <w:jc w:val="both"/>
            </w:pPr>
            <w:r>
              <w:t>и расходами, указанными в пункте 106 настоящих Правил и понесенными управляющей компанией в отчетном периоде за счет имущества фонда, а также начисленными за отчетный период вознаграждениями управляющей компании, специализированному депозитарию, регистратору, аудиторской организации и оценщику в соответствии с пунктом 103 Правил.</w:t>
            </w:r>
          </w:p>
        </w:tc>
      </w:tr>
      <w:tr w:rsidR="00394ED6" w14:paraId="63A573BE" w14:textId="77777777" w:rsidTr="00C77A94">
        <w:trPr>
          <w:gridAfter w:val="1"/>
          <w:wAfter w:w="6" w:type="dxa"/>
        </w:trPr>
        <w:tc>
          <w:tcPr>
            <w:tcW w:w="9302" w:type="dxa"/>
            <w:gridSpan w:val="12"/>
            <w:tcBorders>
              <w:left w:val="nil"/>
              <w:bottom w:val="nil"/>
              <w:right w:val="nil"/>
            </w:tcBorders>
          </w:tcPr>
          <w:p w14:paraId="5E4DA450" w14:textId="77777777" w:rsidR="00394ED6" w:rsidRDefault="00394ED6" w:rsidP="009744EC">
            <w:pPr>
              <w:pStyle w:val="ConsPlusNormal"/>
              <w:jc w:val="both"/>
              <w:outlineLvl w:val="1"/>
            </w:pPr>
            <w:r>
              <w:t>Раздел 6. Комиссии</w:t>
            </w:r>
          </w:p>
        </w:tc>
      </w:tr>
      <w:tr w:rsidR="00394ED6" w14:paraId="0EE6CBD5" w14:textId="77777777" w:rsidTr="00C77A94">
        <w:tblPrEx>
          <w:tblBorders>
            <w:insideV w:val="nil"/>
          </w:tblBorders>
        </w:tblPrEx>
        <w:trPr>
          <w:gridAfter w:val="1"/>
          <w:wAfter w:w="6" w:type="dxa"/>
        </w:trPr>
        <w:tc>
          <w:tcPr>
            <w:tcW w:w="4365" w:type="dxa"/>
            <w:gridSpan w:val="3"/>
            <w:tcBorders>
              <w:top w:val="nil"/>
            </w:tcBorders>
          </w:tcPr>
          <w:p w14:paraId="5D562254" w14:textId="77777777" w:rsidR="00394ED6" w:rsidRDefault="00394ED6" w:rsidP="009744EC">
            <w:pPr>
              <w:pStyle w:val="ConsPlusNormal"/>
              <w:jc w:val="both"/>
            </w:pPr>
            <w:r>
              <w:t>Комиссии, оплачиваемые один раз</w:t>
            </w:r>
          </w:p>
        </w:tc>
        <w:tc>
          <w:tcPr>
            <w:tcW w:w="340" w:type="dxa"/>
            <w:gridSpan w:val="2"/>
            <w:vMerge w:val="restart"/>
            <w:tcBorders>
              <w:top w:val="nil"/>
              <w:bottom w:val="nil"/>
            </w:tcBorders>
          </w:tcPr>
          <w:p w14:paraId="4C6FD658" w14:textId="77777777" w:rsidR="00394ED6" w:rsidRDefault="00394ED6" w:rsidP="009744EC">
            <w:pPr>
              <w:pStyle w:val="ConsPlusNormal"/>
            </w:pPr>
          </w:p>
        </w:tc>
        <w:tc>
          <w:tcPr>
            <w:tcW w:w="4597" w:type="dxa"/>
            <w:gridSpan w:val="7"/>
            <w:tcBorders>
              <w:top w:val="nil"/>
            </w:tcBorders>
          </w:tcPr>
          <w:p w14:paraId="797EC209" w14:textId="77777777" w:rsidR="00394ED6" w:rsidRDefault="00394ED6" w:rsidP="009744EC">
            <w:pPr>
              <w:pStyle w:val="ConsPlusNormal"/>
              <w:jc w:val="both"/>
            </w:pPr>
            <w:r>
              <w:t>Комиссии, оплачиваемые каждый год</w:t>
            </w:r>
          </w:p>
        </w:tc>
      </w:tr>
      <w:tr w:rsidR="00394ED6" w14:paraId="342EB237" w14:textId="77777777" w:rsidTr="00B1366D">
        <w:tblPrEx>
          <w:tblBorders>
            <w:left w:val="single" w:sz="4" w:space="0" w:color="auto"/>
            <w:right w:val="single" w:sz="4" w:space="0" w:color="auto"/>
            <w:insideH w:val="single" w:sz="4" w:space="0" w:color="auto"/>
          </w:tblBorders>
        </w:tblPrEx>
        <w:trPr>
          <w:gridAfter w:val="1"/>
          <w:wAfter w:w="6" w:type="dxa"/>
        </w:trPr>
        <w:tc>
          <w:tcPr>
            <w:tcW w:w="2438" w:type="dxa"/>
            <w:vAlign w:val="center"/>
          </w:tcPr>
          <w:p w14:paraId="472667E5" w14:textId="77777777" w:rsidR="00394ED6" w:rsidRDefault="00394ED6" w:rsidP="009744EC">
            <w:pPr>
              <w:pStyle w:val="ConsPlusNormal"/>
            </w:pPr>
            <w:r>
              <w:t>при приобретении инвестиционного пая (надбавка)</w:t>
            </w:r>
          </w:p>
        </w:tc>
        <w:tc>
          <w:tcPr>
            <w:tcW w:w="1927" w:type="dxa"/>
            <w:gridSpan w:val="2"/>
            <w:tcBorders>
              <w:top w:val="single" w:sz="4" w:space="0" w:color="auto"/>
              <w:bottom w:val="single" w:sz="4" w:space="0" w:color="auto"/>
              <w:right w:val="single" w:sz="4" w:space="0" w:color="auto"/>
            </w:tcBorders>
            <w:vAlign w:val="center"/>
          </w:tcPr>
          <w:p w14:paraId="276C9AE7" w14:textId="29575D3A" w:rsidR="00394ED6" w:rsidRDefault="00BB13FA" w:rsidP="009744EC">
            <w:pPr>
              <w:pStyle w:val="ConsPlusNormal"/>
            </w:pPr>
            <w:r>
              <w:t xml:space="preserve">           </w:t>
            </w:r>
            <w:r w:rsidRPr="00BB13FA">
              <w:t>1,5</w:t>
            </w:r>
            <w:r>
              <w:t>%</w:t>
            </w:r>
          </w:p>
        </w:tc>
        <w:tc>
          <w:tcPr>
            <w:tcW w:w="340" w:type="dxa"/>
            <w:gridSpan w:val="2"/>
            <w:vMerge/>
            <w:tcBorders>
              <w:top w:val="nil"/>
              <w:left w:val="single" w:sz="4" w:space="0" w:color="auto"/>
              <w:bottom w:val="nil"/>
              <w:right w:val="nil"/>
            </w:tcBorders>
          </w:tcPr>
          <w:p w14:paraId="0C7F5A2D" w14:textId="77777777" w:rsidR="00394ED6" w:rsidRDefault="00394ED6" w:rsidP="009744EC"/>
        </w:tc>
        <w:tc>
          <w:tcPr>
            <w:tcW w:w="3346" w:type="dxa"/>
            <w:gridSpan w:val="5"/>
            <w:vMerge w:val="restart"/>
            <w:vAlign w:val="center"/>
          </w:tcPr>
          <w:p w14:paraId="0CB3240D" w14:textId="77777777" w:rsidR="00394ED6" w:rsidRDefault="00394ED6" w:rsidP="009744EC">
            <w:pPr>
              <w:pStyle w:val="ConsPlusNormal"/>
            </w:pPr>
            <w:r>
              <w:t>вознаграждения и расходы, подлежащие оплате за счет активов паевого инвестиционного фонда</w:t>
            </w:r>
          </w:p>
        </w:tc>
        <w:tc>
          <w:tcPr>
            <w:tcW w:w="1251" w:type="dxa"/>
            <w:gridSpan w:val="2"/>
            <w:vMerge w:val="restart"/>
            <w:vAlign w:val="center"/>
          </w:tcPr>
          <w:p w14:paraId="4F7AC6F0" w14:textId="5A448A5B" w:rsidR="00394ED6" w:rsidRDefault="00394ED6" w:rsidP="009744EC">
            <w:pPr>
              <w:pStyle w:val="ConsPlusNormal"/>
              <w:jc w:val="both"/>
            </w:pPr>
            <w:r>
              <w:t xml:space="preserve">до </w:t>
            </w:r>
            <w:r w:rsidR="0094723F">
              <w:t>12</w:t>
            </w:r>
            <w:r>
              <w:t>%</w:t>
            </w:r>
          </w:p>
        </w:tc>
      </w:tr>
      <w:tr w:rsidR="00394ED6" w14:paraId="61FE65AA" w14:textId="77777777" w:rsidTr="00B1366D">
        <w:tblPrEx>
          <w:tblBorders>
            <w:left w:val="single" w:sz="4" w:space="0" w:color="auto"/>
            <w:right w:val="single" w:sz="4" w:space="0" w:color="auto"/>
            <w:insideH w:val="single" w:sz="4" w:space="0" w:color="auto"/>
          </w:tblBorders>
        </w:tblPrEx>
        <w:trPr>
          <w:gridAfter w:val="1"/>
          <w:wAfter w:w="6" w:type="dxa"/>
          <w:trHeight w:val="269"/>
        </w:trPr>
        <w:tc>
          <w:tcPr>
            <w:tcW w:w="2438" w:type="dxa"/>
            <w:vMerge w:val="restart"/>
            <w:vAlign w:val="center"/>
          </w:tcPr>
          <w:p w14:paraId="7E77B753" w14:textId="77777777" w:rsidR="00394ED6" w:rsidRDefault="00394ED6" w:rsidP="009744EC">
            <w:pPr>
              <w:pStyle w:val="ConsPlusNormal"/>
            </w:pPr>
            <w:r>
              <w:t>при погашении инвестиционного пая (скидка)</w:t>
            </w:r>
          </w:p>
        </w:tc>
        <w:tc>
          <w:tcPr>
            <w:tcW w:w="1927" w:type="dxa"/>
            <w:gridSpan w:val="2"/>
            <w:vMerge w:val="restart"/>
            <w:tcBorders>
              <w:top w:val="single" w:sz="4" w:space="0" w:color="auto"/>
              <w:bottom w:val="single" w:sz="4" w:space="0" w:color="auto"/>
              <w:right w:val="single" w:sz="4" w:space="0" w:color="auto"/>
            </w:tcBorders>
            <w:vAlign w:val="center"/>
          </w:tcPr>
          <w:p w14:paraId="51C0F911" w14:textId="7D63F0B6" w:rsidR="00394ED6" w:rsidRDefault="00394ED6" w:rsidP="009744EC">
            <w:pPr>
              <w:pStyle w:val="ConsPlusNormal"/>
            </w:pPr>
            <w:r>
              <w:t xml:space="preserve">от </w:t>
            </w:r>
            <w:r w:rsidR="00BB13FA">
              <w:t xml:space="preserve">0 </w:t>
            </w:r>
            <w:r>
              <w:t xml:space="preserve">% до </w:t>
            </w:r>
            <w:r w:rsidR="00BB13FA">
              <w:t xml:space="preserve">3 </w:t>
            </w:r>
            <w:r>
              <w:t>%</w:t>
            </w:r>
          </w:p>
        </w:tc>
        <w:tc>
          <w:tcPr>
            <w:tcW w:w="340" w:type="dxa"/>
            <w:gridSpan w:val="2"/>
            <w:vMerge/>
            <w:tcBorders>
              <w:top w:val="nil"/>
              <w:left w:val="single" w:sz="4" w:space="0" w:color="auto"/>
              <w:bottom w:val="nil"/>
              <w:right w:val="nil"/>
            </w:tcBorders>
          </w:tcPr>
          <w:p w14:paraId="731FDC36" w14:textId="77777777" w:rsidR="00394ED6" w:rsidRDefault="00394ED6" w:rsidP="009744EC"/>
        </w:tc>
        <w:tc>
          <w:tcPr>
            <w:tcW w:w="3346" w:type="dxa"/>
            <w:gridSpan w:val="5"/>
            <w:vMerge/>
          </w:tcPr>
          <w:p w14:paraId="284FF80F" w14:textId="77777777" w:rsidR="00394ED6" w:rsidRDefault="00394ED6" w:rsidP="009744EC"/>
        </w:tc>
        <w:tc>
          <w:tcPr>
            <w:tcW w:w="1251" w:type="dxa"/>
            <w:gridSpan w:val="2"/>
            <w:vMerge/>
          </w:tcPr>
          <w:p w14:paraId="1EEC156B" w14:textId="77777777" w:rsidR="00394ED6" w:rsidRDefault="00394ED6" w:rsidP="009744EC"/>
        </w:tc>
      </w:tr>
      <w:tr w:rsidR="00394ED6" w14:paraId="523ABF03" w14:textId="77777777" w:rsidTr="00B1366D">
        <w:tblPrEx>
          <w:tblBorders>
            <w:left w:val="single" w:sz="4" w:space="0" w:color="auto"/>
            <w:insideH w:val="single" w:sz="4" w:space="0" w:color="auto"/>
            <w:insideV w:val="nil"/>
          </w:tblBorders>
        </w:tblPrEx>
        <w:trPr>
          <w:gridAfter w:val="1"/>
          <w:wAfter w:w="6" w:type="dxa"/>
        </w:trPr>
        <w:tc>
          <w:tcPr>
            <w:tcW w:w="2438" w:type="dxa"/>
            <w:vMerge/>
            <w:tcBorders>
              <w:left w:val="single" w:sz="4" w:space="0" w:color="auto"/>
              <w:right w:val="single" w:sz="4" w:space="0" w:color="auto"/>
            </w:tcBorders>
          </w:tcPr>
          <w:p w14:paraId="778F02A5" w14:textId="77777777" w:rsidR="00394ED6" w:rsidRDefault="00394ED6" w:rsidP="009744EC"/>
        </w:tc>
        <w:tc>
          <w:tcPr>
            <w:tcW w:w="1927" w:type="dxa"/>
            <w:gridSpan w:val="2"/>
            <w:vMerge/>
            <w:tcBorders>
              <w:top w:val="single" w:sz="4" w:space="0" w:color="auto"/>
              <w:left w:val="single" w:sz="4" w:space="0" w:color="auto"/>
              <w:bottom w:val="single" w:sz="4" w:space="0" w:color="auto"/>
              <w:right w:val="single" w:sz="4" w:space="0" w:color="auto"/>
            </w:tcBorders>
          </w:tcPr>
          <w:p w14:paraId="4465769E" w14:textId="77777777" w:rsidR="00394ED6" w:rsidRDefault="00394ED6" w:rsidP="009744EC"/>
        </w:tc>
        <w:tc>
          <w:tcPr>
            <w:tcW w:w="340" w:type="dxa"/>
            <w:gridSpan w:val="2"/>
            <w:vMerge/>
            <w:tcBorders>
              <w:top w:val="nil"/>
              <w:left w:val="single" w:sz="4" w:space="0" w:color="auto"/>
              <w:bottom w:val="nil"/>
            </w:tcBorders>
          </w:tcPr>
          <w:p w14:paraId="03845CD9" w14:textId="77777777" w:rsidR="00394ED6" w:rsidRDefault="00394ED6" w:rsidP="009744EC"/>
        </w:tc>
        <w:tc>
          <w:tcPr>
            <w:tcW w:w="4597" w:type="dxa"/>
            <w:gridSpan w:val="7"/>
            <w:tcBorders>
              <w:bottom w:val="nil"/>
            </w:tcBorders>
          </w:tcPr>
          <w:p w14:paraId="07EAB552" w14:textId="77777777" w:rsidR="00394ED6" w:rsidRDefault="00394ED6" w:rsidP="009744EC">
            <w:pPr>
              <w:pStyle w:val="ConsPlusNormal"/>
            </w:pPr>
          </w:p>
        </w:tc>
      </w:tr>
      <w:tr w:rsidR="00394ED6" w14:paraId="78FF34F4" w14:textId="77777777" w:rsidTr="00C77A94">
        <w:trPr>
          <w:gridAfter w:val="1"/>
          <w:wAfter w:w="6" w:type="dxa"/>
        </w:trPr>
        <w:tc>
          <w:tcPr>
            <w:tcW w:w="9302" w:type="dxa"/>
            <w:gridSpan w:val="12"/>
            <w:tcBorders>
              <w:top w:val="nil"/>
              <w:left w:val="nil"/>
              <w:right w:val="nil"/>
            </w:tcBorders>
          </w:tcPr>
          <w:p w14:paraId="32BEC715" w14:textId="77777777" w:rsidR="00394ED6" w:rsidRDefault="00394ED6" w:rsidP="009744EC">
            <w:pPr>
              <w:pStyle w:val="ConsPlusNormal"/>
            </w:pPr>
            <w:r>
              <w:t>Размер комиссий указан в процентах от стоимости чистых активов паевого инвестиционного фонда.</w:t>
            </w:r>
          </w:p>
          <w:p w14:paraId="5BE8472B" w14:textId="77777777" w:rsidR="00394ED6" w:rsidRDefault="00394ED6" w:rsidP="009744EC">
            <w:pPr>
              <w:pStyle w:val="ConsPlusNormal"/>
            </w:pPr>
            <w:r>
              <w:t>Подробные условия указаны в правилах доверительного управления паевым инвестиционным фондом</w:t>
            </w:r>
          </w:p>
        </w:tc>
      </w:tr>
      <w:tr w:rsidR="00394ED6" w14:paraId="0BAEA71A" w14:textId="77777777" w:rsidTr="00C77A94">
        <w:tblPrEx>
          <w:tblBorders>
            <w:insideH w:val="single" w:sz="4" w:space="0" w:color="auto"/>
          </w:tblBorders>
        </w:tblPrEx>
        <w:trPr>
          <w:gridAfter w:val="1"/>
          <w:wAfter w:w="6" w:type="dxa"/>
        </w:trPr>
        <w:tc>
          <w:tcPr>
            <w:tcW w:w="9302" w:type="dxa"/>
            <w:gridSpan w:val="12"/>
            <w:tcBorders>
              <w:left w:val="nil"/>
              <w:right w:val="nil"/>
            </w:tcBorders>
          </w:tcPr>
          <w:p w14:paraId="719F69E7" w14:textId="77777777" w:rsidR="00394ED6" w:rsidRDefault="00394ED6" w:rsidP="009744EC">
            <w:pPr>
              <w:pStyle w:val="ConsPlusNormal"/>
              <w:jc w:val="both"/>
              <w:outlineLvl w:val="1"/>
            </w:pPr>
            <w:r>
              <w:t>Раздел 7. Иная информация</w:t>
            </w:r>
          </w:p>
        </w:tc>
      </w:tr>
      <w:tr w:rsidR="00394ED6" w14:paraId="333EF07D" w14:textId="77777777" w:rsidTr="00C77A94">
        <w:tblPrEx>
          <w:tblBorders>
            <w:insideH w:val="single" w:sz="4" w:space="0" w:color="auto"/>
            <w:insideV w:val="nil"/>
          </w:tblBorders>
        </w:tblPrEx>
        <w:trPr>
          <w:gridAfter w:val="1"/>
          <w:wAfter w:w="6" w:type="dxa"/>
        </w:trPr>
        <w:tc>
          <w:tcPr>
            <w:tcW w:w="4365" w:type="dxa"/>
            <w:gridSpan w:val="3"/>
            <w:tcBorders>
              <w:bottom w:val="nil"/>
            </w:tcBorders>
          </w:tcPr>
          <w:p w14:paraId="464D3E60" w14:textId="3C5BB571" w:rsidR="00394ED6" w:rsidRDefault="00394ED6" w:rsidP="009744EC">
            <w:pPr>
              <w:pStyle w:val="ConsPlusNormal"/>
              <w:jc w:val="both"/>
            </w:pPr>
            <w:r>
              <w:t xml:space="preserve">1. </w:t>
            </w:r>
            <w:r w:rsidR="0094723F">
              <w:t>Минимальная сумма денежных средств, которая может быть передана в оплату инвестиционных паев, составляет от</w:t>
            </w:r>
            <w:r>
              <w:t xml:space="preserve"> </w:t>
            </w:r>
            <w:r w:rsidR="0094723F" w:rsidRPr="0094723F">
              <w:t>100 000 (Ста тысяч) рублей</w:t>
            </w:r>
            <w:r>
              <w:t>).</w:t>
            </w:r>
            <w:r w:rsidR="0094723F">
              <w:t xml:space="preserve"> Подробные условия указаны в правилах доверительного управления паевым инвестиционным фондом.</w:t>
            </w:r>
          </w:p>
          <w:p w14:paraId="7C5D8142" w14:textId="47E3CD41" w:rsidR="00394ED6" w:rsidRDefault="0094723F" w:rsidP="009744EC">
            <w:pPr>
              <w:pStyle w:val="ConsPlusNormal"/>
              <w:jc w:val="both"/>
            </w:pPr>
            <w:r>
              <w:t>2</w:t>
            </w:r>
            <w:r w:rsidR="00394ED6">
              <w:t xml:space="preserve">. </w:t>
            </w:r>
            <w:r w:rsidRPr="0094723F">
              <w:t>Правила доверительного управления зарегистрированы Федеральной службой по финансовым рынкам 28 марта 2006 г. за</w:t>
            </w:r>
            <w:r>
              <w:t xml:space="preserve">        </w:t>
            </w:r>
            <w:r w:rsidRPr="0094723F">
              <w:t xml:space="preserve"> № 0493-79417163</w:t>
            </w:r>
            <w:r w:rsidR="00394ED6">
              <w:t>.</w:t>
            </w:r>
          </w:p>
          <w:p w14:paraId="456D2C22" w14:textId="2774CB92" w:rsidR="00394ED6" w:rsidRDefault="00394ED6" w:rsidP="009744EC">
            <w:pPr>
              <w:pStyle w:val="ConsPlusNormal"/>
              <w:jc w:val="both"/>
            </w:pPr>
            <w:r w:rsidRPr="00B1366D">
              <w:t>4. Паевой</w:t>
            </w:r>
            <w:r w:rsidR="00B1366D">
              <w:t xml:space="preserve"> </w:t>
            </w:r>
            <w:r w:rsidRPr="00B1366D">
              <w:t>инвестиционный фонд сформирован</w:t>
            </w:r>
            <w:r w:rsidR="0094723F" w:rsidRPr="00B1366D">
              <w:t xml:space="preserve"> </w:t>
            </w:r>
            <w:r w:rsidR="00B1315B">
              <w:t>0</w:t>
            </w:r>
            <w:r w:rsidR="00FF6581" w:rsidRPr="00B1366D">
              <w:t>3 Июля 2006 года.</w:t>
            </w:r>
          </w:p>
          <w:p w14:paraId="1D0F77BB" w14:textId="5B1B8B65" w:rsidR="00FF6581" w:rsidRDefault="00FF6581" w:rsidP="00FF6581">
            <w:pPr>
              <w:pStyle w:val="ConsPlusNormal"/>
              <w:jc w:val="both"/>
            </w:pPr>
            <w:r>
              <w:t xml:space="preserve">5. Информацию, подлежащую раскрытию и предоставлению, можно получить </w:t>
            </w:r>
            <w:r w:rsidR="00E32AA7">
              <w:t xml:space="preserve"> на сайте по а</w:t>
            </w:r>
            <w:r w:rsidR="00E32AA7" w:rsidRPr="00E32AA7">
              <w:t>дрес</w:t>
            </w:r>
            <w:r w:rsidR="00E32AA7">
              <w:t>у</w:t>
            </w:r>
            <w:r w:rsidR="00E32AA7" w:rsidRPr="00E32AA7">
              <w:t xml:space="preserve"> в сети интернет </w:t>
            </w:r>
            <w:hyperlink r:id="rId7" w:history="1">
              <w:r w:rsidR="00E32AA7" w:rsidRPr="00CB132F">
                <w:rPr>
                  <w:rStyle w:val="a3"/>
                </w:rPr>
                <w:t>http://www.mcri.ru</w:t>
              </w:r>
            </w:hyperlink>
            <w:r w:rsidR="00E32AA7">
              <w:t xml:space="preserve">, а так же  </w:t>
            </w:r>
            <w:r>
              <w:t>по адресу: 123022, г. Москва, 2-ая Звенигородская ул., д. 13, стр. 43, пом. 1, ком. 1.</w:t>
            </w:r>
          </w:p>
          <w:p w14:paraId="2A34C035" w14:textId="21275B1A" w:rsidR="00FF6581" w:rsidRDefault="00FF6581" w:rsidP="00FF6581">
            <w:pPr>
              <w:pStyle w:val="ConsPlusNormal"/>
              <w:jc w:val="both"/>
            </w:pPr>
          </w:p>
        </w:tc>
        <w:tc>
          <w:tcPr>
            <w:tcW w:w="340" w:type="dxa"/>
            <w:gridSpan w:val="2"/>
            <w:tcBorders>
              <w:bottom w:val="nil"/>
            </w:tcBorders>
          </w:tcPr>
          <w:p w14:paraId="44BE7537" w14:textId="77777777" w:rsidR="00394ED6" w:rsidRDefault="00394ED6" w:rsidP="009744EC">
            <w:pPr>
              <w:pStyle w:val="ConsPlusNormal"/>
            </w:pPr>
          </w:p>
        </w:tc>
        <w:tc>
          <w:tcPr>
            <w:tcW w:w="4597" w:type="dxa"/>
            <w:gridSpan w:val="7"/>
            <w:tcBorders>
              <w:bottom w:val="nil"/>
            </w:tcBorders>
          </w:tcPr>
          <w:p w14:paraId="72B7B2A4" w14:textId="15A1887E" w:rsidR="00394ED6" w:rsidRDefault="00394ED6" w:rsidP="00FF6581">
            <w:pPr>
              <w:pStyle w:val="ConsPlusNormal"/>
              <w:jc w:val="both"/>
            </w:pPr>
            <w:r>
              <w:t xml:space="preserve">6. </w:t>
            </w:r>
            <w:r w:rsidR="00FF6581">
              <w:t xml:space="preserve">Общество с ограниченной ответственностью "Управляющая компания "Реальные инвестиции"(ООО "УК "Реальные инвестиции"), Лицензия № 21-000-1-00755, сайт </w:t>
            </w:r>
            <w:r w:rsidR="00FF6581" w:rsidRPr="00FF6581">
              <w:t xml:space="preserve"> </w:t>
            </w:r>
            <w:hyperlink r:id="rId8" w:history="1">
              <w:r w:rsidR="00FF6581" w:rsidRPr="00480058">
                <w:rPr>
                  <w:rStyle w:val="a3"/>
                </w:rPr>
                <w:t>http://www.mcri.ru</w:t>
              </w:r>
            </w:hyperlink>
            <w:r w:rsidR="00FF6581">
              <w:t xml:space="preserve"> </w:t>
            </w:r>
            <w:r w:rsidR="00FF6581" w:rsidRPr="00FF6581">
              <w:t xml:space="preserve">, </w:t>
            </w:r>
            <w:r w:rsidR="00FF6581">
              <w:t xml:space="preserve"> </w:t>
            </w:r>
            <w:r w:rsidR="00FF6581" w:rsidRPr="00FF6581">
              <w:t>тел</w:t>
            </w:r>
            <w:r w:rsidR="00FF6581">
              <w:t>ефон</w:t>
            </w:r>
            <w:r w:rsidR="00FF6581" w:rsidRPr="00FF6581">
              <w:t xml:space="preserve"> +7 (499) 370-07-07</w:t>
            </w:r>
            <w:r w:rsidR="00FF6581">
              <w:t xml:space="preserve">, адрес </w:t>
            </w:r>
            <w:r w:rsidR="00FF6581" w:rsidRPr="00FF6581">
              <w:t>123022, г. Москва, 2-ая Звенигородская ул., д.13, стр. 43, пом. 1, ком.1</w:t>
            </w:r>
          </w:p>
          <w:p w14:paraId="0C4D37DD" w14:textId="661CA7EC" w:rsidR="00394ED6" w:rsidRDefault="00394ED6" w:rsidP="009744EC">
            <w:pPr>
              <w:pStyle w:val="ConsPlusNormal"/>
              <w:jc w:val="both"/>
            </w:pPr>
            <w:r>
              <w:t xml:space="preserve">7. </w:t>
            </w:r>
            <w:r w:rsidR="00FF6581">
              <w:t>С</w:t>
            </w:r>
            <w:r w:rsidR="00FF6581" w:rsidRPr="00FF6581">
              <w:t>пециализированн</w:t>
            </w:r>
            <w:r w:rsidR="00FF6581">
              <w:t>ый</w:t>
            </w:r>
            <w:r w:rsidR="00FF6581" w:rsidRPr="00FF6581">
              <w:t xml:space="preserve"> депозитари</w:t>
            </w:r>
            <w:r w:rsidR="00FF6581">
              <w:t>й</w:t>
            </w:r>
            <w:r w:rsidR="00FF6581" w:rsidRPr="00FF6581">
              <w:t xml:space="preserve"> фонда: Закрытое акционерное общество «Первый Специализированный Депозитарий»</w:t>
            </w:r>
            <w:r w:rsidR="00FF6581">
              <w:t xml:space="preserve">, сайт </w:t>
            </w:r>
            <w:hyperlink r:id="rId9" w:history="1">
              <w:r w:rsidR="00FF6581" w:rsidRPr="00480058">
                <w:rPr>
                  <w:rStyle w:val="a3"/>
                </w:rPr>
                <w:t>http://www.frsd.ru</w:t>
              </w:r>
            </w:hyperlink>
            <w:r w:rsidR="00FF6581">
              <w:t xml:space="preserve"> .</w:t>
            </w:r>
          </w:p>
          <w:p w14:paraId="7E51DFD4" w14:textId="5CDCE0FD" w:rsidR="00FF6581" w:rsidRDefault="00394ED6" w:rsidP="009744EC">
            <w:pPr>
              <w:pStyle w:val="ConsPlusNormal"/>
              <w:jc w:val="both"/>
            </w:pPr>
            <w:r>
              <w:t xml:space="preserve">8. </w:t>
            </w:r>
            <w:r w:rsidR="00FF6581">
              <w:t>Л</w:t>
            </w:r>
            <w:r w:rsidR="00FF6581" w:rsidRPr="00FF6581">
              <w:t>иц</w:t>
            </w:r>
            <w:r w:rsidR="00FF6581">
              <w:t>о</w:t>
            </w:r>
            <w:r w:rsidR="00FF6581" w:rsidRPr="00FF6581">
              <w:t>, осуществляюще</w:t>
            </w:r>
            <w:r w:rsidR="00FF6581">
              <w:t>е</w:t>
            </w:r>
            <w:r w:rsidR="00FF6581" w:rsidRPr="00FF6581">
              <w:t xml:space="preserve"> ведение реестра владельцев инвестиционных паев фонда: Закрытое акционерное общество «Первый Специализированный Депозитарий»</w:t>
            </w:r>
            <w:r w:rsidR="00FF6581">
              <w:t xml:space="preserve">, </w:t>
            </w:r>
            <w:r w:rsidR="00FF6581" w:rsidRPr="00FF6581">
              <w:t xml:space="preserve">сайт </w:t>
            </w:r>
            <w:hyperlink r:id="rId10" w:history="1">
              <w:r w:rsidR="00FF6581" w:rsidRPr="00480058">
                <w:rPr>
                  <w:rStyle w:val="a3"/>
                </w:rPr>
                <w:t>http://www.frsd.ru</w:t>
              </w:r>
            </w:hyperlink>
            <w:r w:rsidR="00FF6581">
              <w:t xml:space="preserve"> </w:t>
            </w:r>
            <w:r w:rsidR="00FF6581" w:rsidRPr="00FF6581">
              <w:t>.</w:t>
            </w:r>
          </w:p>
          <w:p w14:paraId="7D94098A" w14:textId="4ABF8545" w:rsidR="00394ED6" w:rsidRDefault="00394ED6" w:rsidP="009744EC">
            <w:pPr>
              <w:pStyle w:val="ConsPlusNormal"/>
              <w:jc w:val="both"/>
            </w:pPr>
            <w:r>
              <w:t xml:space="preserve">9. Надзор и контроль за деятельностью управляющей компании паевого инвестиционного фонда в соответствии с </w:t>
            </w:r>
            <w:hyperlink r:id="rId11" w:history="1">
              <w:r>
                <w:rPr>
                  <w:color w:val="0000FF"/>
                </w:rPr>
                <w:t>подпунктом 10 пункта 2 статьи 55</w:t>
              </w:r>
            </w:hyperlink>
            <w:r>
              <w:t xml:space="preserve"> Федерального закона "Об инвестиционных фондах" осуществляет Банк России, сайт </w:t>
            </w:r>
            <w:hyperlink r:id="rId12" w:history="1">
              <w:r w:rsidR="00FF6581" w:rsidRPr="00480058">
                <w:rPr>
                  <w:rStyle w:val="a3"/>
                </w:rPr>
                <w:t>www.cbr.ru</w:t>
              </w:r>
            </w:hyperlink>
            <w:r w:rsidR="00FF6581">
              <w:t xml:space="preserve"> </w:t>
            </w:r>
            <w:r>
              <w:t>, номер телефон</w:t>
            </w:r>
            <w:r w:rsidR="00FF6581">
              <w:t>а 8 (800) 300-30-00</w:t>
            </w:r>
          </w:p>
        </w:tc>
      </w:tr>
    </w:tbl>
    <w:p w14:paraId="77CCEA16" w14:textId="77777777" w:rsidR="00394ED6" w:rsidRDefault="00394ED6" w:rsidP="00394ED6">
      <w:pPr>
        <w:pStyle w:val="ConsPlusNormal"/>
        <w:jc w:val="both"/>
      </w:pPr>
    </w:p>
    <w:p w14:paraId="12C81ABB" w14:textId="06F16751" w:rsidR="00B564F0" w:rsidRDefault="00B564F0" w:rsidP="008565E3"/>
    <w:sectPr w:rsidR="00B56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F0"/>
    <w:rsid w:val="00024759"/>
    <w:rsid w:val="00224767"/>
    <w:rsid w:val="00316107"/>
    <w:rsid w:val="00394ED6"/>
    <w:rsid w:val="003B68A7"/>
    <w:rsid w:val="00417860"/>
    <w:rsid w:val="004278B8"/>
    <w:rsid w:val="00450409"/>
    <w:rsid w:val="00486E68"/>
    <w:rsid w:val="00535518"/>
    <w:rsid w:val="00542082"/>
    <w:rsid w:val="006041F5"/>
    <w:rsid w:val="006856D9"/>
    <w:rsid w:val="006E0A31"/>
    <w:rsid w:val="008565E3"/>
    <w:rsid w:val="00877C6C"/>
    <w:rsid w:val="008F4DD3"/>
    <w:rsid w:val="009203EA"/>
    <w:rsid w:val="0094723F"/>
    <w:rsid w:val="009573B5"/>
    <w:rsid w:val="009B4F59"/>
    <w:rsid w:val="009B6460"/>
    <w:rsid w:val="00A02602"/>
    <w:rsid w:val="00B07B2D"/>
    <w:rsid w:val="00B1315B"/>
    <w:rsid w:val="00B1366D"/>
    <w:rsid w:val="00B14F91"/>
    <w:rsid w:val="00B564F0"/>
    <w:rsid w:val="00BB13FA"/>
    <w:rsid w:val="00BB42E1"/>
    <w:rsid w:val="00C77A94"/>
    <w:rsid w:val="00DC0385"/>
    <w:rsid w:val="00DF491B"/>
    <w:rsid w:val="00E32AA7"/>
    <w:rsid w:val="00EB2B76"/>
    <w:rsid w:val="00EE786E"/>
    <w:rsid w:val="00F96FB7"/>
    <w:rsid w:val="00FF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8D2F"/>
  <w15:chartTrackingRefBased/>
  <w15:docId w15:val="{85F17B48-D17E-4F54-B0DC-9A7442EE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E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ED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486E68"/>
    <w:rPr>
      <w:color w:val="0563C1" w:themeColor="hyperlink"/>
      <w:u w:val="single"/>
    </w:rPr>
  </w:style>
  <w:style w:type="character" w:styleId="a4">
    <w:name w:val="Unresolved Mention"/>
    <w:basedOn w:val="a0"/>
    <w:uiPriority w:val="99"/>
    <w:semiHidden/>
    <w:unhideWhenUsed/>
    <w:rsid w:val="00486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r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ri.ru" TargetMode="External"/><Relationship Id="rId12"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consultantplus://offline/ref=3EAE8C1EEE9F4E029E1E9CED4291FD3AC2C37276C147B2536B661D9CA2C992B724175AFF65BA5A1BA77812D610FACD89BC53A9A52716CE87l5ACM" TargetMode="External"/><Relationship Id="rId5" Type="http://schemas.openxmlformats.org/officeDocument/2006/relationships/hyperlink" Target="http://www.mcri.ru" TargetMode="External"/><Relationship Id="rId10" Type="http://schemas.openxmlformats.org/officeDocument/2006/relationships/hyperlink" Target="http://www.frsd.ru" TargetMode="External"/><Relationship Id="rId4" Type="http://schemas.openxmlformats.org/officeDocument/2006/relationships/webSettings" Target="webSettings.xml"/><Relationship Id="rId9" Type="http://schemas.openxmlformats.org/officeDocument/2006/relationships/hyperlink" Target="http://www.frsd.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[Информация о СЧА и пая 2021.xlsx]Лист7!Сводная таблица6</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Лист7!$B$1</c:f>
              <c:strCache>
                <c:ptCount val="1"/>
                <c:pt idx="0">
                  <c:v>Итог</c:v>
                </c:pt>
              </c:strCache>
            </c:strRef>
          </c:tx>
          <c:spPr>
            <a:solidFill>
              <a:schemeClr val="accent1"/>
            </a:solidFill>
            <a:ln>
              <a:noFill/>
            </a:ln>
            <a:effectLst/>
          </c:spPr>
          <c:invertIfNegative val="0"/>
          <c:cat>
            <c:strRef>
              <c:f>Лист7!$A$2:$A$7</c:f>
              <c:strCache>
                <c:ptCount val="5"/>
                <c:pt idx="0">
                  <c:v>2016-2017</c:v>
                </c:pt>
                <c:pt idx="1">
                  <c:v>2017-2018</c:v>
                </c:pt>
                <c:pt idx="2">
                  <c:v>2018-2019</c:v>
                </c:pt>
                <c:pt idx="3">
                  <c:v>2019-2020</c:v>
                </c:pt>
                <c:pt idx="4">
                  <c:v>2020-2021</c:v>
                </c:pt>
              </c:strCache>
            </c:strRef>
          </c:cat>
          <c:val>
            <c:numRef>
              <c:f>Лист7!$B$2:$B$7</c:f>
              <c:numCache>
                <c:formatCode>0.00%</c:formatCode>
                <c:ptCount val="5"/>
                <c:pt idx="0">
                  <c:v>3.8129117684317947E-2</c:v>
                </c:pt>
                <c:pt idx="1">
                  <c:v>7.7882511444400226E-2</c:v>
                </c:pt>
                <c:pt idx="2">
                  <c:v>3.2568271424769576E-2</c:v>
                </c:pt>
                <c:pt idx="3">
                  <c:v>0.10357697289023099</c:v>
                </c:pt>
                <c:pt idx="4">
                  <c:v>-3.3373392696507555E-2</c:v>
                </c:pt>
              </c:numCache>
            </c:numRef>
          </c:val>
          <c:extLst>
            <c:ext xmlns:c16="http://schemas.microsoft.com/office/drawing/2014/chart" uri="{C3380CC4-5D6E-409C-BE32-E72D297353CC}">
              <c16:uniqueId val="{00000000-1478-4750-A72A-1567AF2AB8CA}"/>
            </c:ext>
          </c:extLst>
        </c:ser>
        <c:dLbls>
          <c:showLegendKey val="0"/>
          <c:showVal val="0"/>
          <c:showCatName val="0"/>
          <c:showSerName val="0"/>
          <c:showPercent val="0"/>
          <c:showBubbleSize val="0"/>
        </c:dLbls>
        <c:gapWidth val="219"/>
        <c:overlap val="-27"/>
        <c:axId val="2071464399"/>
        <c:axId val="2071458159"/>
      </c:barChart>
      <c:catAx>
        <c:axId val="2071464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1458159"/>
        <c:crosses val="autoZero"/>
        <c:auto val="1"/>
        <c:lblAlgn val="ctr"/>
        <c:lblOffset val="100"/>
        <c:noMultiLvlLbl val="0"/>
      </c:catAx>
      <c:valAx>
        <c:axId val="20714581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1464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D074-7D90-47E2-BA87-A7BFF641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Pages>
  <Words>1357</Words>
  <Characters>7739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3</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Шмакова Наталья</dc:creator>
  <cp:keywords/>
  <dc:description/>
  <cp:lastModifiedBy>Шмакова Наталья</cp:lastModifiedBy>
  <cp:revision>6</cp:revision>
  <dcterms:created xsi:type="dcterms:W3CDTF">2021-10-07T12:39:00Z</dcterms:created>
  <dcterms:modified xsi:type="dcterms:W3CDTF">2021-10-11T10:47:00Z</dcterms:modified>
</cp:coreProperties>
</file>